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jc w:val="center"/>
        <w:rPr>
          <w:rFonts w:hAnsi="宋体"/>
          <w:sz w:val="24"/>
          <w:szCs w:val="24"/>
        </w:rPr>
      </w:pPr>
    </w:p>
    <w:p>
      <w:pPr>
        <w:jc w:val="center"/>
        <w:rPr>
          <w:rFonts w:hAnsi="宋体"/>
          <w:sz w:val="28"/>
          <w:szCs w:val="28"/>
        </w:rPr>
      </w:pPr>
      <w:r>
        <w:rPr>
          <w:rFonts w:hAnsi="宋体"/>
          <w:sz w:val="28"/>
          <w:szCs w:val="28"/>
        </w:rPr>
        <w:t xml:space="preserve"> </w:t>
      </w:r>
    </w:p>
    <w:p>
      <w:pPr>
        <w:ind w:right="-160" w:rightChars="-50" w:firstLine="723" w:firstLineChars="100"/>
        <w:jc w:val="left"/>
        <w:rPr>
          <w:rFonts w:hint="eastAsia" w:asciiTheme="majorAscii" w:hAnsiTheme="majorEastAsia" w:eastAsiaTheme="majorEastAsia" w:cstheme="majorEastAsia"/>
          <w:b/>
          <w:bCs/>
          <w:sz w:val="72"/>
          <w:szCs w:val="72"/>
        </w:rPr>
      </w:pPr>
      <w:r>
        <w:rPr>
          <w:rFonts w:hint="eastAsia" w:asciiTheme="majorAscii" w:hAnsiTheme="majorEastAsia" w:eastAsiaTheme="majorEastAsia" w:cstheme="majorEastAsia"/>
          <w:b/>
          <w:bCs/>
          <w:color w:val="FF0000"/>
          <w:sz w:val="72"/>
          <w:szCs w:val="72"/>
        </w:rPr>
        <w:t>盱眙县农业机械管理局</w:t>
      </w:r>
    </w:p>
    <w:p>
      <w:pPr>
        <w:ind w:firstLine="2570" w:firstLineChars="800"/>
        <w:jc w:val="both"/>
        <w:rPr>
          <w:rFonts w:hint="eastAsia" w:ascii="仿宋_GB2312" w:hAnsi="宋体" w:eastAsia="仿宋_GB2312"/>
          <w:b/>
          <w:bCs/>
          <w:sz w:val="32"/>
          <w:szCs w:val="32"/>
        </w:rPr>
      </w:pPr>
    </w:p>
    <w:p>
      <w:pPr>
        <w:ind w:firstLine="2560" w:firstLineChars="800"/>
        <w:jc w:val="both"/>
        <w:rPr>
          <w:rFonts w:hint="eastAsia" w:ascii="仿宋_GB2312" w:hAnsi="宋体" w:eastAsia="仿宋_GB2312"/>
          <w:sz w:val="32"/>
          <w:szCs w:val="32"/>
        </w:rPr>
      </w:pPr>
      <w:bookmarkStart w:id="0" w:name="_GoBack"/>
      <w:r>
        <w:rPr>
          <w:rFonts w:hint="eastAsia" w:ascii="仿宋_GB2312" w:hAnsi="宋体" w:eastAsia="仿宋_GB2312"/>
          <w:sz w:val="32"/>
          <w:szCs w:val="32"/>
        </w:rPr>
        <w:t>盱农机〔2018〕</w:t>
      </w:r>
      <w:r>
        <w:rPr>
          <w:rFonts w:hint="eastAsia" w:hAnsi="宋体"/>
          <w:sz w:val="32"/>
          <w:szCs w:val="32"/>
          <w:lang w:val="en-US" w:eastAsia="zh-CN"/>
        </w:rPr>
        <w:t>39</w:t>
      </w:r>
      <w:r>
        <w:rPr>
          <w:rFonts w:hint="eastAsia" w:ascii="仿宋_GB2312" w:hAnsi="宋体" w:eastAsia="仿宋_GB2312"/>
          <w:sz w:val="32"/>
          <w:szCs w:val="32"/>
        </w:rPr>
        <w:t>号</w:t>
      </w:r>
    </w:p>
    <w:bookmarkEnd w:id="0"/>
    <w:p>
      <w:pPr>
        <w:jc w:val="center"/>
        <w:rPr>
          <w:rFonts w:hint="eastAsia" w:ascii="宋体" w:hAnsi="宋体"/>
          <w:b/>
          <w:bCs/>
          <w:color w:val="FF6600"/>
          <w:sz w:val="24"/>
        </w:rPr>
      </w:pPr>
      <w:r>
        <w:rPr>
          <w:rFonts w:hint="eastAsia" w:ascii="宋体" w:hAnsi="宋体"/>
          <w:b/>
          <w:bCs/>
          <w:color w:val="FF6600"/>
          <w:sz w:val="24"/>
        </w:rPr>
        <w:t xml:space="preserve"> </w:t>
      </w:r>
    </w:p>
    <w:p>
      <w:pPr>
        <w:rPr>
          <w:rFonts w:hint="eastAsia" w:ascii="宋体" w:hAnsi="宋体"/>
          <w:b/>
          <w:bCs/>
          <w:color w:val="FF0000"/>
          <w:sz w:val="24"/>
          <w:u w:val="thick"/>
        </w:rPr>
      </w:pPr>
      <w:r>
        <w:rPr>
          <w:rFonts w:hint="eastAsia" w:ascii="宋体" w:hAnsi="宋体"/>
          <w:b/>
          <w:bCs/>
          <w:color w:val="FF0000"/>
          <w:sz w:val="24"/>
        </w:rPr>
        <w:t xml:space="preserve">  </w:t>
      </w:r>
      <w:r>
        <w:rPr>
          <w:rFonts w:hint="eastAsia" w:ascii="宋体" w:hAnsi="宋体"/>
          <w:b/>
          <w:bCs/>
          <w:color w:val="FF0000"/>
          <w:sz w:val="24"/>
          <w:u w:val="thick"/>
        </w:rPr>
        <w:t xml:space="preserve">                                                                          </w:t>
      </w:r>
    </w:p>
    <w:p>
      <w:pPr>
        <w:jc w:val="center"/>
        <w:rPr>
          <w:rFonts w:hint="eastAsia" w:ascii="宋体" w:hAnsi="宋体"/>
          <w:b/>
          <w:bCs/>
          <w:color w:val="FF0000"/>
          <w:sz w:val="24"/>
        </w:rPr>
      </w:pPr>
      <w:r>
        <w:rPr>
          <w:rFonts w:hint="eastAsia" w:ascii="宋体" w:hAnsi="宋体"/>
          <w:b/>
          <w:bCs/>
          <w:color w:val="FF0000"/>
          <w:sz w:val="24"/>
        </w:rPr>
        <w:t xml:space="preserve"> </w:t>
      </w:r>
    </w:p>
    <w:p>
      <w:pPr>
        <w:jc w:val="center"/>
        <w:rPr>
          <w:rFonts w:ascii="宋体" w:hAnsi="宋体"/>
          <w:b/>
          <w:bCs/>
          <w:sz w:val="24"/>
          <w:szCs w:val="24"/>
        </w:rPr>
      </w:pPr>
      <w:r>
        <w:rPr>
          <w:rFonts w:ascii="宋体" w:hAnsi="宋体"/>
          <w:b/>
          <w:bCs/>
          <w:sz w:val="24"/>
          <w:szCs w:val="24"/>
        </w:rPr>
        <w:t xml:space="preserve"> </w:t>
      </w:r>
    </w:p>
    <w:p>
      <w:pPr>
        <w:ind w:firstLine="883" w:firstLineChars="200"/>
        <w:rPr>
          <w:rFonts w:ascii="宋体" w:hAnsi="宋体" w:eastAsia="宋体"/>
          <w:b/>
          <w:bCs/>
          <w:sz w:val="44"/>
          <w:szCs w:val="44"/>
        </w:rPr>
      </w:pPr>
      <w:r>
        <w:rPr>
          <w:rFonts w:hint="eastAsia" w:ascii="宋体" w:hAnsi="宋体" w:eastAsia="宋体"/>
          <w:b/>
          <w:bCs/>
          <w:sz w:val="44"/>
          <w:szCs w:val="44"/>
        </w:rPr>
        <w:t>关于农机购置补贴工作实行内部控制</w:t>
      </w:r>
    </w:p>
    <w:p>
      <w:pPr>
        <w:ind w:firstLine="3092" w:firstLineChars="700"/>
        <w:rPr>
          <w:rFonts w:ascii="宋体" w:hAnsi="宋体" w:eastAsia="宋体"/>
          <w:b/>
          <w:bCs/>
          <w:sz w:val="44"/>
          <w:szCs w:val="44"/>
        </w:rPr>
      </w:pPr>
      <w:r>
        <w:rPr>
          <w:rFonts w:hint="eastAsia" w:ascii="宋体" w:hAnsi="宋体" w:eastAsia="宋体"/>
          <w:b/>
          <w:bCs/>
          <w:sz w:val="44"/>
          <w:szCs w:val="44"/>
        </w:rPr>
        <w:t>管理的通知</w:t>
      </w:r>
    </w:p>
    <w:p>
      <w:pPr>
        <w:rPr>
          <w:rFonts w:ascii="宋体" w:hAnsi="宋体" w:eastAsia="宋体"/>
          <w:sz w:val="44"/>
          <w:szCs w:val="44"/>
        </w:rPr>
      </w:pPr>
    </w:p>
    <w:p>
      <w:pPr>
        <w:rPr>
          <w:rFonts w:hAnsi="宋体"/>
        </w:rPr>
      </w:pPr>
      <w:r>
        <w:rPr>
          <w:rFonts w:hint="eastAsia" w:hAnsi="宋体"/>
        </w:rPr>
        <w:t>各镇（街道）农技站、局相关科室、站、所：</w:t>
      </w:r>
    </w:p>
    <w:p>
      <w:pPr>
        <w:spacing w:line="560" w:lineRule="exact"/>
        <w:ind w:firstLine="640" w:firstLineChars="200"/>
        <w:rPr>
          <w:rFonts w:hAnsi="仿宋_GB2312" w:cs="仿宋_GB2312"/>
        </w:rPr>
      </w:pPr>
      <w:r>
        <w:rPr>
          <w:rFonts w:hint="eastAsia" w:hAnsi="仿宋_GB2312" w:cs="仿宋_GB2312"/>
        </w:rPr>
        <w:t>为进一步规范农机购置补贴工作，强化内部权力运行的制约，建立健全科学高效的制约和监督体系，加强廉政风险防控，落实好农机购置补贴政策，结合我县实际，制定本通知。</w:t>
      </w:r>
    </w:p>
    <w:p>
      <w:pPr>
        <w:spacing w:line="560" w:lineRule="exact"/>
        <w:ind w:firstLine="640" w:firstLineChars="200"/>
        <w:rPr>
          <w:rFonts w:hAnsi="仿宋_GB2312" w:cs="仿宋_GB2312"/>
        </w:rPr>
      </w:pPr>
      <w:r>
        <w:rPr>
          <w:rFonts w:hint="eastAsia" w:hAnsi="仿宋_GB2312" w:cs="仿宋_GB2312"/>
        </w:rPr>
        <w:t>农机购置补贴工作实行内部控制管理，是指通过合理界定岗位职责、规范业务流程、制定和实施风险防控应对措施，对本部门在农机购置补贴政策落实过程中的风险进行防范和管控，保障补贴工作规范、有序、科学和高效运行。内部控制制度覆盖补贴工作全部范围，覆盖补贴工作全部岗位及人员，贯穿补贴工作内部权力运行的决策、执行和监督全过程，贯穿补贴工作岗位管理、职责分工和业务流程全环节，主要包括：农机购置补贴工作方案制定、补贴申请受理审核与结算、补贴监管与违规投诉处理、政策宣传与信息公开、绩效管理</w:t>
      </w:r>
      <w:r>
        <w:rPr>
          <w:rFonts w:hAnsi="仿宋_GB2312" w:cs="仿宋_GB2312"/>
        </w:rPr>
        <w:t>5</w:t>
      </w:r>
      <w:r>
        <w:rPr>
          <w:rFonts w:hint="eastAsia" w:hAnsi="仿宋_GB2312" w:cs="仿宋_GB2312"/>
        </w:rPr>
        <w:t>项工作。</w:t>
      </w:r>
    </w:p>
    <w:p>
      <w:pPr>
        <w:numPr>
          <w:ilvl w:val="0"/>
          <w:numId w:val="1"/>
        </w:numPr>
        <w:spacing w:line="560" w:lineRule="exact"/>
        <w:rPr>
          <w:rFonts w:hAnsi="仿宋_GB2312" w:cs="仿宋_GB2312"/>
          <w:b/>
        </w:rPr>
      </w:pPr>
      <w:r>
        <w:rPr>
          <w:rFonts w:hint="eastAsia" w:hAnsi="仿宋_GB2312" w:cs="仿宋_GB2312"/>
          <w:b/>
        </w:rPr>
        <w:t>农机购置补贴工作方案制订</w:t>
      </w:r>
    </w:p>
    <w:p>
      <w:pPr>
        <w:numPr>
          <w:ilvl w:val="0"/>
          <w:numId w:val="2"/>
        </w:numPr>
        <w:spacing w:line="560" w:lineRule="exact"/>
        <w:rPr>
          <w:rFonts w:hAnsi="仿宋_GB2312" w:cs="仿宋_GB2312"/>
          <w:b/>
          <w:bCs/>
        </w:rPr>
      </w:pPr>
      <w:r>
        <w:rPr>
          <w:rFonts w:hint="eastAsia" w:hAnsi="仿宋_GB2312" w:cs="仿宋_GB2312"/>
          <w:b/>
          <w:bCs/>
        </w:rPr>
        <w:t>工作流程</w:t>
      </w:r>
    </w:p>
    <w:p>
      <w:pPr>
        <w:spacing w:line="560" w:lineRule="exact"/>
        <w:ind w:firstLine="640" w:firstLineChars="200"/>
        <w:rPr>
          <w:rFonts w:hAnsi="仿宋_GB2312" w:cs="仿宋_GB2312"/>
        </w:rPr>
      </w:pPr>
      <w:r>
        <w:rPr>
          <w:rFonts w:hAnsi="仿宋_GB2312" w:cs="仿宋_GB2312"/>
        </w:rPr>
        <w:t>1</w:t>
      </w:r>
      <w:r>
        <w:rPr>
          <w:rFonts w:hint="eastAsia" w:hAnsi="仿宋_GB2312" w:cs="仿宋_GB2312"/>
        </w:rPr>
        <w:t>、前期资料搜集准备：县农机局将上年度实施情况进行梳理总结和通报。</w:t>
      </w:r>
    </w:p>
    <w:p>
      <w:pPr>
        <w:spacing w:line="560" w:lineRule="exact"/>
        <w:ind w:firstLine="640" w:firstLineChars="200"/>
        <w:rPr>
          <w:rFonts w:hAnsi="仿宋_GB2312" w:cs="仿宋_GB2312"/>
        </w:rPr>
      </w:pPr>
      <w:r>
        <w:rPr>
          <w:rFonts w:hAnsi="仿宋_GB2312" w:cs="仿宋_GB2312"/>
        </w:rPr>
        <w:t>2</w:t>
      </w:r>
      <w:r>
        <w:rPr>
          <w:rFonts w:hint="eastAsia" w:hAnsi="仿宋_GB2312" w:cs="仿宋_GB2312"/>
        </w:rPr>
        <w:t>、编制年度补贴工作方案：县农机局根据已公布的上级农机购置补贴实施办法，结合本年度农业和农村经济发展目标等，拟定本地工作方案，并送领导机构成员单位进行修改完善。</w:t>
      </w:r>
    </w:p>
    <w:p>
      <w:pPr>
        <w:spacing w:line="560" w:lineRule="exact"/>
        <w:ind w:firstLine="640" w:firstLineChars="200"/>
        <w:rPr>
          <w:rFonts w:hAnsi="仿宋_GB2312" w:cs="仿宋_GB2312"/>
        </w:rPr>
      </w:pPr>
      <w:r>
        <w:rPr>
          <w:rFonts w:hAnsi="仿宋_GB2312" w:cs="仿宋_GB2312"/>
        </w:rPr>
        <w:t>3</w:t>
      </w:r>
      <w:r>
        <w:rPr>
          <w:rFonts w:hint="eastAsia" w:hAnsi="仿宋_GB2312" w:cs="仿宋_GB2312"/>
        </w:rPr>
        <w:t>、按部门拟定职责：领导机构成员单位按职能修改完善部门具体职责，并将职责具体分解到内设机构。</w:t>
      </w:r>
    </w:p>
    <w:p>
      <w:pPr>
        <w:spacing w:line="560" w:lineRule="exact"/>
        <w:ind w:firstLine="640" w:firstLineChars="200"/>
        <w:rPr>
          <w:rFonts w:hAnsi="仿宋_GB2312" w:cs="仿宋_GB2312"/>
        </w:rPr>
      </w:pPr>
      <w:r>
        <w:rPr>
          <w:rFonts w:hAnsi="仿宋_GB2312" w:cs="仿宋_GB2312"/>
        </w:rPr>
        <w:t>4</w:t>
      </w:r>
      <w:r>
        <w:rPr>
          <w:rFonts w:hint="eastAsia" w:hAnsi="仿宋_GB2312" w:cs="仿宋_GB2312"/>
        </w:rPr>
        <w:t>、按部门内部分解职能：领导机构成员单位内设机构补充完善工作职能，并落实专人负责相关业务。</w:t>
      </w:r>
    </w:p>
    <w:p>
      <w:pPr>
        <w:spacing w:line="560" w:lineRule="exact"/>
        <w:ind w:firstLine="640" w:firstLineChars="200"/>
        <w:rPr>
          <w:rFonts w:hAnsi="仿宋_GB2312" w:cs="仿宋_GB2312"/>
        </w:rPr>
      </w:pPr>
      <w:r>
        <w:rPr>
          <w:rFonts w:hAnsi="仿宋_GB2312" w:cs="仿宋_GB2312"/>
        </w:rPr>
        <w:t>5</w:t>
      </w:r>
      <w:r>
        <w:rPr>
          <w:rFonts w:hint="eastAsia" w:hAnsi="仿宋_GB2312" w:cs="仿宋_GB2312"/>
        </w:rPr>
        <w:t>、部门业务合规性审查：通过初审的由部门进行内部合规性审查，审查通过的送县农机局，审查未通过的修改完善后重新报送。</w:t>
      </w:r>
    </w:p>
    <w:p>
      <w:pPr>
        <w:spacing w:line="560" w:lineRule="exact"/>
        <w:ind w:firstLine="640" w:firstLineChars="200"/>
        <w:rPr>
          <w:rFonts w:hAnsi="仿宋_GB2312" w:cs="仿宋_GB2312"/>
        </w:rPr>
      </w:pPr>
      <w:r>
        <w:rPr>
          <w:rFonts w:hAnsi="仿宋_GB2312" w:cs="仿宋_GB2312"/>
        </w:rPr>
        <w:t>6</w:t>
      </w:r>
      <w:r>
        <w:rPr>
          <w:rFonts w:hint="eastAsia" w:hAnsi="仿宋_GB2312" w:cs="仿宋_GB2312"/>
        </w:rPr>
        <w:t>、汇总形成补贴工作方案：县农机局对各部门递交的审查稿进行汇总，形成补贴工作初步方案。</w:t>
      </w:r>
    </w:p>
    <w:p>
      <w:pPr>
        <w:spacing w:line="560" w:lineRule="exact"/>
        <w:ind w:firstLine="640" w:firstLineChars="200"/>
        <w:rPr>
          <w:rFonts w:hAnsi="仿宋_GB2312" w:cs="仿宋_GB2312"/>
        </w:rPr>
      </w:pPr>
      <w:r>
        <w:rPr>
          <w:rFonts w:hAnsi="仿宋_GB2312" w:cs="仿宋_GB2312"/>
        </w:rPr>
        <w:t>7</w:t>
      </w:r>
      <w:r>
        <w:rPr>
          <w:rFonts w:hint="eastAsia" w:hAnsi="仿宋_GB2312" w:cs="仿宋_GB2312"/>
        </w:rPr>
        <w:t>、多部门方案可行性论证：县农机局组织专家（或业务负责人）对工作方案进行可行性论证，通过论证的送领导机构审核，未通过审核的将建议反馈给部门进行修改。</w:t>
      </w:r>
    </w:p>
    <w:p>
      <w:pPr>
        <w:spacing w:line="560" w:lineRule="exact"/>
        <w:ind w:firstLine="640" w:firstLineChars="200"/>
        <w:rPr>
          <w:rFonts w:hAnsi="仿宋_GB2312" w:cs="仿宋_GB2312"/>
        </w:rPr>
      </w:pPr>
      <w:r>
        <w:rPr>
          <w:rFonts w:hAnsi="仿宋_GB2312" w:cs="仿宋_GB2312"/>
        </w:rPr>
        <w:t>8</w:t>
      </w:r>
      <w:r>
        <w:rPr>
          <w:rFonts w:hint="eastAsia" w:hAnsi="仿宋_GB2312" w:cs="仿宋_GB2312"/>
        </w:rPr>
        <w:t>、送补贴领导机构审核：领导机构成员单位对工作方案进行审核，形成终稿。</w:t>
      </w:r>
    </w:p>
    <w:p>
      <w:pPr>
        <w:spacing w:line="560" w:lineRule="exact"/>
        <w:ind w:firstLine="640" w:firstLineChars="200"/>
        <w:rPr>
          <w:rFonts w:hAnsi="仿宋_GB2312" w:cs="仿宋_GB2312"/>
        </w:rPr>
      </w:pPr>
      <w:r>
        <w:rPr>
          <w:rFonts w:hAnsi="仿宋_GB2312" w:cs="仿宋_GB2312"/>
        </w:rPr>
        <w:t>9</w:t>
      </w:r>
      <w:r>
        <w:rPr>
          <w:rFonts w:hint="eastAsia" w:hAnsi="仿宋_GB2312" w:cs="仿宋_GB2312"/>
        </w:rPr>
        <w:t>、印发工作方案：县农机局将通过审查的工作方案终稿行文下发，并组织开展政策宣传。</w:t>
      </w:r>
    </w:p>
    <w:p>
      <w:pPr>
        <w:spacing w:line="560" w:lineRule="exact"/>
        <w:ind w:firstLine="640" w:firstLineChars="200"/>
        <w:rPr>
          <w:rFonts w:hAnsi="仿宋_GB2312" w:cs="仿宋_GB2312"/>
        </w:rPr>
      </w:pPr>
      <w:r>
        <w:rPr>
          <w:rFonts w:hAnsi="仿宋_GB2312" w:cs="仿宋_GB2312"/>
        </w:rPr>
        <w:t>10</w:t>
      </w:r>
      <w:r>
        <w:rPr>
          <w:rFonts w:hint="eastAsia" w:hAnsi="仿宋_GB2312" w:cs="仿宋_GB2312"/>
        </w:rPr>
        <w:t>、按部门开展工作（公开和上报方案）：各部门按年度工作方案完成具体工作任务，并定期形成规范信息进行主动公开，县农机局按要求向上级部门报送工作方案、信息和总结等材料。</w:t>
      </w:r>
    </w:p>
    <w:p>
      <w:pPr>
        <w:spacing w:line="560" w:lineRule="exact"/>
        <w:ind w:left="640"/>
        <w:rPr>
          <w:rFonts w:hAnsi="仿宋_GB2312" w:cs="仿宋_GB2312"/>
        </w:rPr>
      </w:pPr>
      <w:r>
        <w:rPr>
          <w:rFonts w:hint="eastAsia" w:hAnsi="仿宋_GB2312" w:cs="仿宋_GB2312"/>
          <w:b/>
          <w:bCs/>
        </w:rPr>
        <w:t>（二）风险点与防控应对策略</w:t>
      </w:r>
    </w:p>
    <w:tbl>
      <w:tblPr>
        <w:tblStyle w:val="6"/>
        <w:tblW w:w="83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4" w:type="dxa"/>
          </w:tcPr>
          <w:p>
            <w:pPr>
              <w:spacing w:line="400" w:lineRule="exact"/>
              <w:jc w:val="center"/>
              <w:rPr>
                <w:rFonts w:ascii="黑体" w:hAnsi="黑体" w:eastAsia="黑体" w:cs="黑体"/>
                <w:b/>
                <w:bCs/>
                <w:sz w:val="28"/>
                <w:szCs w:val="28"/>
              </w:rPr>
            </w:pPr>
            <w:r>
              <w:rPr>
                <w:rFonts w:hint="eastAsia" w:ascii="黑体" w:hAnsi="黑体" w:eastAsia="黑体" w:cs="黑体"/>
                <w:b/>
                <w:bCs/>
                <w:sz w:val="28"/>
                <w:szCs w:val="28"/>
              </w:rPr>
              <w:t>风</w:t>
            </w:r>
            <w:r>
              <w:rPr>
                <w:rFonts w:ascii="黑体" w:hAnsi="黑体" w:eastAsia="黑体" w:cs="黑体"/>
                <w:b/>
                <w:bCs/>
                <w:sz w:val="28"/>
                <w:szCs w:val="28"/>
              </w:rPr>
              <w:t xml:space="preserve"> </w:t>
            </w:r>
            <w:r>
              <w:rPr>
                <w:rFonts w:hint="eastAsia" w:ascii="黑体" w:hAnsi="黑体" w:eastAsia="黑体" w:cs="黑体"/>
                <w:b/>
                <w:bCs/>
                <w:sz w:val="28"/>
                <w:szCs w:val="28"/>
              </w:rPr>
              <w:t>险</w:t>
            </w:r>
            <w:r>
              <w:rPr>
                <w:rFonts w:ascii="黑体" w:hAnsi="黑体" w:eastAsia="黑体" w:cs="黑体"/>
                <w:b/>
                <w:bCs/>
                <w:sz w:val="28"/>
                <w:szCs w:val="28"/>
              </w:rPr>
              <w:t xml:space="preserve"> </w:t>
            </w:r>
            <w:r>
              <w:rPr>
                <w:rFonts w:hint="eastAsia" w:ascii="黑体" w:hAnsi="黑体" w:eastAsia="黑体" w:cs="黑体"/>
                <w:b/>
                <w:bCs/>
                <w:sz w:val="28"/>
                <w:szCs w:val="28"/>
              </w:rPr>
              <w:t>点</w:t>
            </w:r>
          </w:p>
        </w:tc>
        <w:tc>
          <w:tcPr>
            <w:tcW w:w="4950" w:type="dxa"/>
          </w:tcPr>
          <w:p>
            <w:pPr>
              <w:spacing w:line="400" w:lineRule="exact"/>
              <w:jc w:val="center"/>
              <w:rPr>
                <w:rFonts w:ascii="黑体" w:hAnsi="黑体" w:eastAsia="黑体" w:cs="黑体"/>
                <w:b/>
                <w:bCs/>
                <w:sz w:val="28"/>
                <w:szCs w:val="28"/>
              </w:rPr>
            </w:pPr>
            <w:r>
              <w:rPr>
                <w:rFonts w:hint="eastAsia" w:ascii="黑体" w:hAnsi="黑体" w:eastAsia="黑体" w:cs="黑体"/>
                <w:b/>
                <w:bCs/>
                <w:sz w:val="28"/>
                <w:szCs w:val="28"/>
              </w:rPr>
              <w:t>防</w:t>
            </w:r>
            <w:r>
              <w:rPr>
                <w:rFonts w:ascii="黑体" w:hAnsi="黑体" w:eastAsia="黑体" w:cs="黑体"/>
                <w:b/>
                <w:bCs/>
                <w:sz w:val="28"/>
                <w:szCs w:val="28"/>
              </w:rPr>
              <w:t xml:space="preserve"> </w:t>
            </w:r>
            <w:r>
              <w:rPr>
                <w:rFonts w:hint="eastAsia" w:ascii="黑体" w:hAnsi="黑体" w:eastAsia="黑体" w:cs="黑体"/>
                <w:b/>
                <w:bCs/>
                <w:sz w:val="28"/>
                <w:szCs w:val="28"/>
              </w:rPr>
              <w:t>控</w:t>
            </w:r>
            <w:r>
              <w:rPr>
                <w:rFonts w:ascii="黑体" w:hAnsi="黑体" w:eastAsia="黑体" w:cs="黑体"/>
                <w:b/>
                <w:bCs/>
                <w:sz w:val="28"/>
                <w:szCs w:val="28"/>
              </w:rPr>
              <w:t xml:space="preserve"> </w:t>
            </w:r>
            <w:r>
              <w:rPr>
                <w:rFonts w:hint="eastAsia" w:ascii="黑体" w:hAnsi="黑体" w:eastAsia="黑体" w:cs="黑体"/>
                <w:b/>
                <w:bCs/>
                <w:sz w:val="28"/>
                <w:szCs w:val="28"/>
              </w:rPr>
              <w:t>应</w:t>
            </w:r>
            <w:r>
              <w:rPr>
                <w:rFonts w:ascii="黑体" w:hAnsi="黑体" w:eastAsia="黑体" w:cs="黑体"/>
                <w:b/>
                <w:bCs/>
                <w:sz w:val="28"/>
                <w:szCs w:val="28"/>
              </w:rPr>
              <w:t xml:space="preserve"> </w:t>
            </w:r>
            <w:r>
              <w:rPr>
                <w:rFonts w:hint="eastAsia" w:ascii="黑体" w:hAnsi="黑体" w:eastAsia="黑体" w:cs="黑体"/>
                <w:b/>
                <w:bCs/>
                <w:sz w:val="28"/>
                <w:szCs w:val="2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374"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工作方案制订是否科学</w:t>
            </w:r>
          </w:p>
        </w:tc>
        <w:tc>
          <w:tcPr>
            <w:tcW w:w="495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多部门共同联合制定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374"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工作方案制订是否合理</w:t>
            </w:r>
          </w:p>
        </w:tc>
        <w:tc>
          <w:tcPr>
            <w:tcW w:w="495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建立部门内审、专家论证、领导机构终审的三级审核制度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374"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工作方案实施是否有效</w:t>
            </w:r>
          </w:p>
        </w:tc>
        <w:tc>
          <w:tcPr>
            <w:tcW w:w="495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定期形成规范信息进行主动公开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374"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部门职责是否明确到位</w:t>
            </w:r>
          </w:p>
        </w:tc>
        <w:tc>
          <w:tcPr>
            <w:tcW w:w="495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建立部门职责内部审查制度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374"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关键岗位职责是否到位</w:t>
            </w:r>
          </w:p>
        </w:tc>
        <w:tc>
          <w:tcPr>
            <w:tcW w:w="495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建立业务岗位责任制度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4" w:type="dxa"/>
            <w:shd w:val="clear" w:color="auto" w:fill="FFFFFF"/>
          </w:tcPr>
          <w:p>
            <w:pPr>
              <w:spacing w:line="400" w:lineRule="exact"/>
              <w:rPr>
                <w:rFonts w:hAnsi="仿宋_GB2312" w:cs="仿宋_GB2312"/>
                <w:sz w:val="24"/>
                <w:szCs w:val="24"/>
              </w:rPr>
            </w:pPr>
            <w:r>
              <w:rPr>
                <w:rFonts w:hint="eastAsia" w:hAnsi="仿宋_GB2312" w:cs="仿宋_GB2312"/>
                <w:sz w:val="24"/>
                <w:szCs w:val="24"/>
              </w:rPr>
              <w:t>不相容岗位是否分离</w:t>
            </w:r>
          </w:p>
        </w:tc>
        <w:tc>
          <w:tcPr>
            <w:tcW w:w="495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部门对不相容岗位进行设置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4" w:type="dxa"/>
            <w:shd w:val="clear" w:color="auto" w:fill="FFFFFF"/>
          </w:tcPr>
          <w:p>
            <w:pPr>
              <w:spacing w:line="400" w:lineRule="exact"/>
              <w:rPr>
                <w:rFonts w:hAnsi="仿宋_GB2312" w:cs="仿宋_GB2312"/>
                <w:sz w:val="24"/>
                <w:szCs w:val="24"/>
              </w:rPr>
            </w:pPr>
            <w:r>
              <w:rPr>
                <w:rFonts w:hint="eastAsia" w:hAnsi="仿宋_GB2312" w:cs="仿宋_GB2312"/>
                <w:sz w:val="24"/>
                <w:szCs w:val="24"/>
              </w:rPr>
              <w:t>县级领导机构是否发挥作用</w:t>
            </w:r>
          </w:p>
        </w:tc>
        <w:tc>
          <w:tcPr>
            <w:tcW w:w="4950"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领导机构审核工作方案，对重点事项集体决策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4" w:type="dxa"/>
            <w:shd w:val="clear" w:color="auto" w:fill="FFFFFF"/>
          </w:tcPr>
          <w:p>
            <w:pPr>
              <w:spacing w:line="400" w:lineRule="exact"/>
              <w:rPr>
                <w:rFonts w:hAnsi="仿宋_GB2312" w:cs="仿宋_GB2312"/>
                <w:sz w:val="24"/>
                <w:szCs w:val="24"/>
              </w:rPr>
            </w:pPr>
            <w:r>
              <w:rPr>
                <w:rFonts w:hint="eastAsia" w:hAnsi="仿宋_GB2312" w:cs="仿宋_GB2312"/>
                <w:sz w:val="24"/>
                <w:szCs w:val="24"/>
              </w:rPr>
              <w:t>县级领导机构是否运行正常</w:t>
            </w:r>
          </w:p>
        </w:tc>
        <w:tc>
          <w:tcPr>
            <w:tcW w:w="4950"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领导机构办公室负责部门协同配合，信息传递</w:t>
            </w:r>
          </w:p>
        </w:tc>
      </w:tr>
    </w:tbl>
    <w:p>
      <w:pPr>
        <w:spacing w:line="560" w:lineRule="exact"/>
        <w:ind w:firstLine="640" w:firstLineChars="200"/>
        <w:rPr>
          <w:rFonts w:hAnsi="仿宋_GB2312" w:cs="仿宋_GB2312"/>
          <w:b/>
          <w:bCs/>
        </w:rPr>
      </w:pPr>
      <w:r>
        <w:rPr>
          <w:rFonts w:hint="eastAsia" w:hAnsi="仿宋_GB2312" w:cs="仿宋_GB2312"/>
        </w:rPr>
        <w:t>二、</w:t>
      </w:r>
      <w:r>
        <w:rPr>
          <w:rFonts w:hint="eastAsia" w:hAnsi="仿宋_GB2312" w:cs="仿宋_GB2312"/>
          <w:b/>
        </w:rPr>
        <w:t>农机购置补贴</w:t>
      </w:r>
      <w:r>
        <w:rPr>
          <w:rFonts w:hint="eastAsia" w:hAnsi="仿宋_GB2312" w:cs="仿宋_GB2312"/>
          <w:b/>
          <w:bCs/>
        </w:rPr>
        <w:t>申请的受理、审核与结算兑付</w:t>
      </w:r>
    </w:p>
    <w:p>
      <w:pPr>
        <w:numPr>
          <w:ilvl w:val="0"/>
          <w:numId w:val="3"/>
        </w:numPr>
        <w:spacing w:line="560" w:lineRule="exact"/>
        <w:rPr>
          <w:rFonts w:hAnsi="仿宋_GB2312" w:cs="仿宋_GB2312"/>
          <w:b/>
          <w:bCs/>
        </w:rPr>
      </w:pPr>
      <w:r>
        <w:rPr>
          <w:rFonts w:hint="eastAsia" w:hAnsi="仿宋_GB2312" w:cs="仿宋_GB2312"/>
          <w:b/>
          <w:bCs/>
        </w:rPr>
        <w:t>工作流程</w:t>
      </w:r>
    </w:p>
    <w:p>
      <w:pPr>
        <w:adjustRightInd w:val="0"/>
        <w:snapToGrid w:val="0"/>
        <w:spacing w:line="560" w:lineRule="exact"/>
        <w:ind w:firstLine="640" w:firstLineChars="200"/>
        <w:rPr>
          <w:rFonts w:hAnsi="仿宋_GB2312" w:cs="仿宋_GB2312"/>
        </w:rPr>
      </w:pPr>
      <w:r>
        <w:rPr>
          <w:rFonts w:hAnsi="仿宋_GB2312" w:cs="仿宋_GB2312"/>
        </w:rPr>
        <w:t>1</w:t>
      </w:r>
      <w:r>
        <w:rPr>
          <w:rFonts w:hint="eastAsia" w:hAnsi="仿宋_GB2312" w:cs="仿宋_GB2312"/>
        </w:rPr>
        <w:t>、自主购机。购机者到符合条件的农机经销商自主购买补贴农机。</w:t>
      </w:r>
    </w:p>
    <w:p>
      <w:pPr>
        <w:adjustRightInd w:val="0"/>
        <w:snapToGrid w:val="0"/>
        <w:spacing w:line="560" w:lineRule="exact"/>
        <w:ind w:firstLine="640" w:firstLineChars="200"/>
        <w:rPr>
          <w:rFonts w:hAnsi="仿宋_GB2312" w:cs="仿宋_GB2312"/>
        </w:rPr>
      </w:pPr>
      <w:r>
        <w:rPr>
          <w:rFonts w:hAnsi="仿宋_GB2312" w:cs="仿宋_GB2312"/>
        </w:rPr>
        <w:t>2</w:t>
      </w:r>
      <w:r>
        <w:rPr>
          <w:rFonts w:hint="eastAsia" w:hAnsi="仿宋_GB2312" w:cs="仿宋_GB2312"/>
        </w:rPr>
        <w:t>、销售机具。农机经销商与购机者签订补贴政策告知与承诺书、销售确认表，出具发票并提供机具。</w:t>
      </w:r>
    </w:p>
    <w:p>
      <w:pPr>
        <w:adjustRightInd w:val="0"/>
        <w:snapToGrid w:val="0"/>
        <w:spacing w:line="560" w:lineRule="exact"/>
        <w:ind w:firstLine="640" w:firstLineChars="200"/>
        <w:rPr>
          <w:rFonts w:hAnsi="仿宋_GB2312" w:cs="仿宋_GB2312"/>
        </w:rPr>
      </w:pPr>
      <w:r>
        <w:rPr>
          <w:rFonts w:hAnsi="仿宋_GB2312" w:cs="仿宋_GB2312"/>
        </w:rPr>
        <w:t>3</w:t>
      </w:r>
      <w:r>
        <w:rPr>
          <w:rFonts w:hint="eastAsia" w:hAnsi="仿宋_GB2312" w:cs="仿宋_GB2312"/>
        </w:rPr>
        <w:t>、申请补贴。购机者提交农机补贴政策告知与承诺书、销售确认表、身份证明原件和复印件、发票原件和复印件、购机者账号、机具铭牌拓印件等材料，本人到乡镇农机部门申请补贴。购置有关固定设备的，完成安装验收后，再按规定办理补贴。</w:t>
      </w:r>
    </w:p>
    <w:p>
      <w:pPr>
        <w:adjustRightInd w:val="0"/>
        <w:snapToGrid w:val="0"/>
        <w:spacing w:line="560" w:lineRule="exact"/>
        <w:ind w:firstLine="640" w:firstLineChars="200"/>
        <w:rPr>
          <w:rFonts w:hAnsi="仿宋_GB2312" w:cs="仿宋_GB2312"/>
        </w:rPr>
      </w:pPr>
      <w:r>
        <w:rPr>
          <w:rFonts w:hAnsi="仿宋_GB2312" w:cs="仿宋_GB2312"/>
        </w:rPr>
        <w:t>4</w:t>
      </w:r>
      <w:r>
        <w:rPr>
          <w:rFonts w:hint="eastAsia" w:hAnsi="仿宋_GB2312" w:cs="仿宋_GB2312"/>
        </w:rPr>
        <w:t>、受理申请。乡镇受理申请，核对农机补贴对象条件、逐台核实补贴机具，完成人机合影、登记建档。受理申请后，在发票原件上注明“已受理”，将身份证明和发票原件等退还购机者。</w:t>
      </w:r>
    </w:p>
    <w:p>
      <w:pPr>
        <w:adjustRightInd w:val="0"/>
        <w:snapToGrid w:val="0"/>
        <w:spacing w:line="560" w:lineRule="exact"/>
        <w:ind w:firstLine="640" w:firstLineChars="200"/>
        <w:rPr>
          <w:rFonts w:hAnsi="仿宋_GB2312" w:cs="仿宋_GB2312"/>
        </w:rPr>
      </w:pPr>
      <w:r>
        <w:rPr>
          <w:rFonts w:hAnsi="仿宋_GB2312" w:cs="仿宋_GB2312"/>
        </w:rPr>
        <w:t>5</w:t>
      </w:r>
      <w:r>
        <w:rPr>
          <w:rFonts w:hint="eastAsia" w:hAnsi="仿宋_GB2312" w:cs="仿宋_GB2312"/>
        </w:rPr>
        <w:t>、录入（导入）信息。乡镇农机部门及时将购机者基本情况、人机合影、报废更新和机具信息、购机发票等资料录入（导入）农机购置补贴信息管理系统。</w:t>
      </w:r>
    </w:p>
    <w:p>
      <w:pPr>
        <w:adjustRightInd w:val="0"/>
        <w:snapToGrid w:val="0"/>
        <w:spacing w:line="560" w:lineRule="exact"/>
        <w:ind w:firstLine="640" w:firstLineChars="200"/>
        <w:rPr>
          <w:rFonts w:hAnsi="仿宋_GB2312" w:cs="仿宋_GB2312"/>
        </w:rPr>
      </w:pPr>
      <w:r>
        <w:rPr>
          <w:rFonts w:hAnsi="仿宋_GB2312" w:cs="仿宋_GB2312"/>
        </w:rPr>
        <w:t>6</w:t>
      </w:r>
      <w:r>
        <w:rPr>
          <w:rFonts w:hint="eastAsia" w:hAnsi="仿宋_GB2312" w:cs="仿宋_GB2312"/>
        </w:rPr>
        <w:t>、公示信息。乡镇将已核实购机信息在补贴办理场所或乡镇相关公告栏中公示，无异议后，出具初审意见。</w:t>
      </w:r>
    </w:p>
    <w:p>
      <w:pPr>
        <w:adjustRightInd w:val="0"/>
        <w:snapToGrid w:val="0"/>
        <w:spacing w:line="560" w:lineRule="exact"/>
        <w:ind w:firstLine="640" w:firstLineChars="200"/>
        <w:rPr>
          <w:rFonts w:hAnsi="仿宋_GB2312" w:cs="仿宋_GB2312"/>
        </w:rPr>
      </w:pPr>
      <w:r>
        <w:rPr>
          <w:rFonts w:hAnsi="仿宋_GB2312" w:cs="仿宋_GB2312"/>
        </w:rPr>
        <w:t>7</w:t>
      </w:r>
      <w:r>
        <w:rPr>
          <w:rFonts w:hint="eastAsia" w:hAnsi="仿宋_GB2312" w:cs="仿宋_GB2312"/>
        </w:rPr>
        <w:t>、报送初审意见。乡镇农机部门将农机购置补贴汇总清册公示结束、无异议后，出具补贴资金初审意见（含补贴资金结算汇总表和购机补贴清册），报乡镇财政部门。</w:t>
      </w:r>
    </w:p>
    <w:p>
      <w:pPr>
        <w:adjustRightInd w:val="0"/>
        <w:snapToGrid w:val="0"/>
        <w:spacing w:line="560" w:lineRule="exact"/>
        <w:ind w:firstLine="640" w:firstLineChars="200"/>
        <w:rPr>
          <w:rFonts w:hAnsi="仿宋_GB2312" w:cs="仿宋_GB2312"/>
        </w:rPr>
      </w:pPr>
      <w:r>
        <w:rPr>
          <w:rFonts w:hAnsi="仿宋_GB2312" w:cs="仿宋_GB2312"/>
        </w:rPr>
        <w:t>8</w:t>
      </w:r>
      <w:r>
        <w:rPr>
          <w:rFonts w:hint="eastAsia" w:hAnsi="仿宋_GB2312" w:cs="仿宋_GB2312"/>
        </w:rPr>
        <w:t>、出具初审意见。乡镇财政部门审核补贴资金初审意见，必要时会同乡镇农机部门对补贴对象和机具进行抽查，符合规定后，会签补贴资金初审意见。</w:t>
      </w:r>
    </w:p>
    <w:p>
      <w:pPr>
        <w:adjustRightInd w:val="0"/>
        <w:snapToGrid w:val="0"/>
        <w:spacing w:line="560" w:lineRule="exact"/>
        <w:ind w:firstLine="640" w:firstLineChars="200"/>
        <w:rPr>
          <w:rFonts w:hAnsi="仿宋_GB2312" w:cs="仿宋_GB2312"/>
        </w:rPr>
      </w:pPr>
      <w:r>
        <w:rPr>
          <w:rFonts w:hAnsi="仿宋_GB2312" w:cs="仿宋_GB2312"/>
        </w:rPr>
        <w:t>9</w:t>
      </w:r>
      <w:r>
        <w:rPr>
          <w:rFonts w:hint="eastAsia" w:hAnsi="仿宋_GB2312" w:cs="仿宋_GB2312"/>
        </w:rPr>
        <w:t>、上报结算意见。乡镇农机部门将补贴资金结算意见（含补贴资金结算汇总表、购机者清册、乡镇农机部门初审意见和财政部门会签意见）报县农机主管部门。</w:t>
      </w:r>
    </w:p>
    <w:p>
      <w:pPr>
        <w:adjustRightInd w:val="0"/>
        <w:snapToGrid w:val="0"/>
        <w:spacing w:line="560" w:lineRule="exact"/>
        <w:ind w:firstLine="640" w:firstLineChars="200"/>
        <w:rPr>
          <w:rFonts w:hAnsi="仿宋_GB2312" w:cs="仿宋_GB2312"/>
        </w:rPr>
      </w:pPr>
      <w:r>
        <w:rPr>
          <w:rFonts w:hAnsi="仿宋_GB2312" w:cs="仿宋_GB2312"/>
        </w:rPr>
        <w:t>10</w:t>
      </w:r>
      <w:r>
        <w:rPr>
          <w:rFonts w:hint="eastAsia" w:hAnsi="仿宋_GB2312" w:cs="仿宋_GB2312"/>
        </w:rPr>
        <w:t>、审核结算材料。县农机主管部门对乡镇上报的申请结算材料进行合规性审核。将乡镇报送的购机者清册等与管理信息系统数据核对，确保系统数据与结算数据一致。实地抽查农机比例不低于购机数量的</w:t>
      </w:r>
      <w:r>
        <w:rPr>
          <w:rFonts w:hAnsi="仿宋_GB2312" w:cs="仿宋_GB2312"/>
        </w:rPr>
        <w:t>10%</w:t>
      </w:r>
      <w:r>
        <w:rPr>
          <w:rFonts w:hint="eastAsia" w:hAnsi="仿宋_GB2312" w:cs="仿宋_GB2312"/>
        </w:rPr>
        <w:t>。</w:t>
      </w:r>
    </w:p>
    <w:p>
      <w:pPr>
        <w:adjustRightInd w:val="0"/>
        <w:snapToGrid w:val="0"/>
        <w:spacing w:line="560" w:lineRule="exact"/>
        <w:ind w:firstLine="640" w:firstLineChars="200"/>
        <w:rPr>
          <w:rFonts w:hAnsi="仿宋_GB2312" w:cs="仿宋_GB2312"/>
        </w:rPr>
      </w:pPr>
      <w:r>
        <w:rPr>
          <w:rFonts w:hAnsi="仿宋_GB2312" w:cs="仿宋_GB2312"/>
        </w:rPr>
        <w:t>11</w:t>
      </w:r>
      <w:r>
        <w:rPr>
          <w:rFonts w:hint="eastAsia" w:hAnsi="仿宋_GB2312" w:cs="仿宋_GB2312"/>
        </w:rPr>
        <w:t>、复核结算材料。县级财政部门复核农机管理部门提交的申请结算材料，没有投诉反映、内容准确无误和程序合规的，进入资金兑付环节。</w:t>
      </w:r>
    </w:p>
    <w:p>
      <w:pPr>
        <w:adjustRightInd w:val="0"/>
        <w:snapToGrid w:val="0"/>
        <w:spacing w:line="560" w:lineRule="exact"/>
        <w:ind w:firstLine="640" w:firstLineChars="200"/>
        <w:rPr>
          <w:rFonts w:hAnsi="仿宋_GB2312" w:cs="仿宋_GB2312"/>
        </w:rPr>
      </w:pPr>
      <w:r>
        <w:rPr>
          <w:rFonts w:hAnsi="仿宋_GB2312" w:cs="仿宋_GB2312"/>
        </w:rPr>
        <w:t>12</w:t>
      </w:r>
      <w:r>
        <w:rPr>
          <w:rFonts w:hint="eastAsia" w:hAnsi="仿宋_GB2312" w:cs="仿宋_GB2312"/>
        </w:rPr>
        <w:t>、结算兑付资金。县级财政部门通过购机者账号向购机者拨付农机补贴资金，及时反馈补贴资金兑付情况。</w:t>
      </w:r>
    </w:p>
    <w:p>
      <w:pPr>
        <w:spacing w:line="560" w:lineRule="exact"/>
        <w:ind w:firstLine="643" w:firstLineChars="200"/>
        <w:rPr>
          <w:rFonts w:hAnsi="仿宋_GB2312" w:cs="仿宋_GB2312"/>
          <w:b/>
          <w:bCs/>
        </w:rPr>
      </w:pPr>
      <w:r>
        <w:rPr>
          <w:rFonts w:hint="eastAsia" w:hAnsi="仿宋_GB2312" w:cs="仿宋_GB2312"/>
          <w:b/>
          <w:bCs/>
        </w:rPr>
        <w:t>（二）风险点与防控应对策略</w:t>
      </w:r>
    </w:p>
    <w:tbl>
      <w:tblPr>
        <w:tblStyle w:val="6"/>
        <w:tblW w:w="8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9"/>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tcPr>
          <w:p>
            <w:pPr>
              <w:spacing w:line="400" w:lineRule="exact"/>
              <w:jc w:val="center"/>
              <w:rPr>
                <w:rFonts w:ascii="黑体" w:hAnsi="黑体" w:eastAsia="黑体" w:cs="黑体"/>
                <w:b/>
                <w:bCs/>
                <w:sz w:val="28"/>
                <w:szCs w:val="28"/>
              </w:rPr>
            </w:pPr>
            <w:r>
              <w:rPr>
                <w:rFonts w:hint="eastAsia" w:ascii="黑体" w:hAnsi="黑体" w:eastAsia="黑体" w:cs="黑体"/>
                <w:b/>
                <w:bCs/>
                <w:sz w:val="28"/>
                <w:szCs w:val="28"/>
              </w:rPr>
              <w:t>风</w:t>
            </w:r>
            <w:r>
              <w:rPr>
                <w:rFonts w:ascii="黑体" w:hAnsi="黑体" w:eastAsia="黑体" w:cs="黑体"/>
                <w:b/>
                <w:bCs/>
                <w:sz w:val="28"/>
                <w:szCs w:val="28"/>
              </w:rPr>
              <w:t xml:space="preserve"> </w:t>
            </w:r>
            <w:r>
              <w:rPr>
                <w:rFonts w:hint="eastAsia" w:ascii="黑体" w:hAnsi="黑体" w:eastAsia="黑体" w:cs="黑体"/>
                <w:b/>
                <w:bCs/>
                <w:sz w:val="28"/>
                <w:szCs w:val="28"/>
              </w:rPr>
              <w:t>险</w:t>
            </w:r>
            <w:r>
              <w:rPr>
                <w:rFonts w:ascii="黑体" w:hAnsi="黑体" w:eastAsia="黑体" w:cs="黑体"/>
                <w:b/>
                <w:bCs/>
                <w:sz w:val="28"/>
                <w:szCs w:val="28"/>
              </w:rPr>
              <w:t xml:space="preserve"> </w:t>
            </w:r>
            <w:r>
              <w:rPr>
                <w:rFonts w:hint="eastAsia" w:ascii="黑体" w:hAnsi="黑体" w:eastAsia="黑体" w:cs="黑体"/>
                <w:b/>
                <w:bCs/>
                <w:sz w:val="28"/>
                <w:szCs w:val="28"/>
              </w:rPr>
              <w:t>点</w:t>
            </w:r>
          </w:p>
        </w:tc>
        <w:tc>
          <w:tcPr>
            <w:tcW w:w="4560" w:type="dxa"/>
          </w:tcPr>
          <w:p>
            <w:pPr>
              <w:spacing w:line="400" w:lineRule="exact"/>
              <w:jc w:val="center"/>
              <w:rPr>
                <w:rFonts w:ascii="黑体" w:hAnsi="黑体" w:eastAsia="黑体" w:cs="黑体"/>
                <w:b/>
                <w:bCs/>
                <w:sz w:val="28"/>
                <w:szCs w:val="28"/>
              </w:rPr>
            </w:pPr>
            <w:r>
              <w:rPr>
                <w:rFonts w:hint="eastAsia" w:ascii="黑体" w:hAnsi="黑体" w:eastAsia="黑体" w:cs="黑体"/>
                <w:b/>
                <w:bCs/>
                <w:sz w:val="28"/>
                <w:szCs w:val="28"/>
              </w:rPr>
              <w:t>防</w:t>
            </w:r>
            <w:r>
              <w:rPr>
                <w:rFonts w:ascii="黑体" w:hAnsi="黑体" w:eastAsia="黑体" w:cs="黑体"/>
                <w:b/>
                <w:bCs/>
                <w:sz w:val="28"/>
                <w:szCs w:val="28"/>
              </w:rPr>
              <w:t xml:space="preserve"> </w:t>
            </w:r>
            <w:r>
              <w:rPr>
                <w:rFonts w:hint="eastAsia" w:ascii="黑体" w:hAnsi="黑体" w:eastAsia="黑体" w:cs="黑体"/>
                <w:b/>
                <w:bCs/>
                <w:sz w:val="28"/>
                <w:szCs w:val="28"/>
              </w:rPr>
              <w:t>控</w:t>
            </w:r>
            <w:r>
              <w:rPr>
                <w:rFonts w:ascii="黑体" w:hAnsi="黑体" w:eastAsia="黑体" w:cs="黑体"/>
                <w:b/>
                <w:bCs/>
                <w:sz w:val="28"/>
                <w:szCs w:val="28"/>
              </w:rPr>
              <w:t xml:space="preserve"> </w:t>
            </w:r>
            <w:r>
              <w:rPr>
                <w:rFonts w:hint="eastAsia" w:ascii="黑体" w:hAnsi="黑体" w:eastAsia="黑体" w:cs="黑体"/>
                <w:b/>
                <w:bCs/>
                <w:sz w:val="28"/>
                <w:szCs w:val="28"/>
              </w:rPr>
              <w:t>应</w:t>
            </w:r>
            <w:r>
              <w:rPr>
                <w:rFonts w:ascii="黑体" w:hAnsi="黑体" w:eastAsia="黑体" w:cs="黑体"/>
                <w:b/>
                <w:bCs/>
                <w:sz w:val="28"/>
                <w:szCs w:val="28"/>
              </w:rPr>
              <w:t xml:space="preserve"> </w:t>
            </w:r>
            <w:r>
              <w:rPr>
                <w:rFonts w:hint="eastAsia" w:ascii="黑体" w:hAnsi="黑体" w:eastAsia="黑体" w:cs="黑体"/>
                <w:b/>
                <w:bCs/>
                <w:sz w:val="28"/>
                <w:szCs w:val="2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补贴对象是否符合资格条件</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个人提供涉农补贴卡，农业生产经营组织提供开户许可证和申请补助对象同名的银行账号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tcPr>
          <w:p>
            <w:pPr>
              <w:jc w:val="left"/>
              <w:rPr>
                <w:rFonts w:hAnsi="仿宋_GB2312" w:cs="仿宋_GB2312"/>
                <w:sz w:val="24"/>
                <w:szCs w:val="24"/>
              </w:rPr>
            </w:pPr>
            <w:r>
              <w:rPr>
                <w:rFonts w:hint="eastAsia" w:hAnsi="仿宋_GB2312" w:cs="仿宋_GB2312"/>
                <w:sz w:val="24"/>
                <w:szCs w:val="24"/>
              </w:rPr>
              <w:t>补贴申请资料是否合规</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纸质资料和预录入记录分别审核确认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49" w:type="dxa"/>
            <w:shd w:val="clear" w:color="auto" w:fill="FFFFFF"/>
          </w:tcPr>
          <w:p>
            <w:pPr>
              <w:spacing w:line="400" w:lineRule="exact"/>
              <w:rPr>
                <w:rFonts w:hAnsi="仿宋_GB2312" w:cs="仿宋_GB2312"/>
                <w:sz w:val="24"/>
                <w:szCs w:val="24"/>
              </w:rPr>
            </w:pPr>
            <w:r>
              <w:rPr>
                <w:rFonts w:hint="eastAsia" w:hAnsi="仿宋_GB2312" w:cs="仿宋_GB2312"/>
                <w:sz w:val="24"/>
                <w:szCs w:val="24"/>
              </w:rPr>
              <w:t>未按要求审核补贴申请资料、录入（导入）购机补贴信息</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补贴申请资料确认完整后，才能录入（导入）购机信息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补贴机具未现场核实即录入（导入）购机信息</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乡镇现场核对机具信息无误后才能录入（导入）购机信息，做好人机合影等受理工作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tcPr>
          <w:p>
            <w:pPr>
              <w:spacing w:line="600" w:lineRule="auto"/>
              <w:rPr>
                <w:rFonts w:hAnsi="仿宋_GB2312" w:cs="仿宋_GB2312"/>
                <w:sz w:val="24"/>
                <w:szCs w:val="24"/>
              </w:rPr>
            </w:pPr>
            <w:r>
              <w:rPr>
                <w:rFonts w:hint="eastAsia" w:hAnsi="仿宋_GB2312" w:cs="仿宋_GB2312"/>
                <w:sz w:val="24"/>
                <w:szCs w:val="24"/>
              </w:rPr>
              <w:t>已录入（导入）购机信息不完整</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退回，县农机主管部门通知乡镇进行补充录入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牌证管理信息是否合规</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县农机安全监理所及时提供牌证信息（含报废更新相关情况）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实地安装确认验收手续是否合规</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乡镇负责实地安装机具验收，并如实填写安装确认表，县农机主管部门提供配合和技术支持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tcPr>
          <w:p>
            <w:pPr>
              <w:spacing w:line="400" w:lineRule="exact"/>
              <w:rPr>
                <w:rFonts w:hAnsi="仿宋_GB2312" w:cs="仿宋_GB2312"/>
                <w:sz w:val="24"/>
                <w:szCs w:val="24"/>
              </w:rPr>
            </w:pPr>
            <w:r>
              <w:rPr>
                <w:rFonts w:hint="eastAsia" w:hAnsi="仿宋_GB2312" w:cs="仿宋_GB2312"/>
                <w:sz w:val="24"/>
                <w:szCs w:val="24"/>
              </w:rPr>
              <w:t>已录入（导入）购机信息与申请补贴报账信息不符</w:t>
            </w:r>
          </w:p>
        </w:tc>
        <w:tc>
          <w:tcPr>
            <w:tcW w:w="4560" w:type="dxa"/>
            <w:shd w:val="clear" w:color="auto" w:fill="FFFFFF"/>
          </w:tcPr>
          <w:p>
            <w:pPr>
              <w:adjustRightInd w:val="0"/>
              <w:snapToGrid w:val="0"/>
              <w:spacing w:line="400" w:lineRule="exact"/>
              <w:rPr>
                <w:rFonts w:hAnsi="仿宋_GB2312" w:cs="仿宋_GB2312"/>
                <w:sz w:val="24"/>
                <w:szCs w:val="24"/>
              </w:rPr>
            </w:pPr>
            <w:r>
              <w:rPr>
                <w:rFonts w:hint="eastAsia" w:hAnsi="仿宋_GB2312" w:cs="仿宋_GB2312"/>
                <w:sz w:val="24"/>
                <w:szCs w:val="24"/>
              </w:rPr>
              <w:t>县农机主管部门通知生产企业和经销商做书面说明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9" w:type="dxa"/>
            <w:shd w:val="clear" w:color="auto" w:fill="FFFFFF"/>
          </w:tcPr>
          <w:p>
            <w:pPr>
              <w:rPr>
                <w:sz w:val="24"/>
                <w:szCs w:val="24"/>
              </w:rPr>
            </w:pPr>
            <w:r>
              <w:rPr>
                <w:rFonts w:hint="eastAsia"/>
                <w:sz w:val="24"/>
                <w:szCs w:val="24"/>
              </w:rPr>
              <w:t>未收到录入（导入）信息中对应经销商报送的补贴机具销售情况</w:t>
            </w:r>
          </w:p>
        </w:tc>
        <w:tc>
          <w:tcPr>
            <w:tcW w:w="4560"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县农机主管部门通知经销商按规定要求报送，必要时进行限期整改</w:t>
            </w:r>
          </w:p>
        </w:tc>
      </w:tr>
    </w:tbl>
    <w:p>
      <w:pPr>
        <w:spacing w:line="560" w:lineRule="exact"/>
        <w:ind w:firstLine="643" w:firstLineChars="200"/>
        <w:rPr>
          <w:rFonts w:hAnsi="仿宋_GB2312" w:cs="仿宋_GB2312"/>
          <w:b/>
          <w:bCs/>
        </w:rPr>
      </w:pPr>
      <w:r>
        <w:rPr>
          <w:rFonts w:hint="eastAsia" w:hAnsi="仿宋_GB2312" w:cs="仿宋_GB2312"/>
          <w:b/>
        </w:rPr>
        <w:t>三、农机购置补贴</w:t>
      </w:r>
      <w:r>
        <w:rPr>
          <w:rFonts w:hint="eastAsia" w:hAnsi="仿宋_GB2312" w:cs="仿宋_GB2312"/>
          <w:b/>
          <w:bCs/>
        </w:rPr>
        <w:t>监管、违规与投诉调查处理</w:t>
      </w:r>
    </w:p>
    <w:p>
      <w:pPr>
        <w:spacing w:line="560" w:lineRule="exact"/>
        <w:ind w:firstLine="643" w:firstLineChars="200"/>
        <w:rPr>
          <w:rFonts w:hAnsi="仿宋_GB2312" w:cs="仿宋_GB2312"/>
          <w:b/>
          <w:bCs/>
        </w:rPr>
      </w:pPr>
      <w:r>
        <w:rPr>
          <w:rFonts w:hint="eastAsia" w:hAnsi="仿宋_GB2312" w:cs="仿宋_GB2312"/>
          <w:b/>
          <w:bCs/>
        </w:rPr>
        <w:t>（一）工作流程</w:t>
      </w:r>
    </w:p>
    <w:p>
      <w:pPr>
        <w:spacing w:line="560" w:lineRule="exact"/>
        <w:ind w:firstLine="640" w:firstLineChars="200"/>
        <w:rPr>
          <w:rFonts w:hAnsi="仿宋_GB2312" w:cs="仿宋_GB2312"/>
          <w:b/>
          <w:bCs/>
        </w:rPr>
      </w:pPr>
      <w:r>
        <w:rPr>
          <w:rFonts w:hAnsi="仿宋_GB2312" w:cs="仿宋_GB2312"/>
        </w:rPr>
        <w:t>1</w:t>
      </w:r>
      <w:r>
        <w:rPr>
          <w:rFonts w:hint="eastAsia" w:hAnsi="仿宋_GB2312" w:cs="仿宋_GB2312"/>
        </w:rPr>
        <w:t>、制定方案。制订年度农机购置补贴监督检查工作方案，成立农机购置补贴监督检查组，邀请财政等部门参加；相关举报投诉等由相关业务科室登记受理。</w:t>
      </w:r>
    </w:p>
    <w:p>
      <w:pPr>
        <w:spacing w:line="560" w:lineRule="exact"/>
        <w:ind w:firstLine="640" w:firstLineChars="200"/>
        <w:rPr>
          <w:rFonts w:hAnsi="仿宋_GB2312" w:cs="仿宋_GB2312"/>
          <w:b/>
          <w:bCs/>
        </w:rPr>
      </w:pPr>
      <w:r>
        <w:rPr>
          <w:rFonts w:hAnsi="仿宋_GB2312" w:cs="仿宋_GB2312"/>
        </w:rPr>
        <w:t>2</w:t>
      </w:r>
      <w:r>
        <w:rPr>
          <w:rFonts w:hint="eastAsia" w:hAnsi="仿宋_GB2312" w:cs="仿宋_GB2312"/>
        </w:rPr>
        <w:t>、监督检查。对照购置补贴实施办法要求，监督检查组对供货单位和购机者进行检查。已受理的线索由各调查组进行调查核实，认真收集相关佐证材料，提出处理意见和建议，报送县级农机购置补贴领导机构。</w:t>
      </w:r>
    </w:p>
    <w:p>
      <w:pPr>
        <w:spacing w:line="560" w:lineRule="exact"/>
        <w:ind w:firstLine="640" w:firstLineChars="200"/>
        <w:rPr>
          <w:rFonts w:hAnsi="仿宋_GB2312" w:cs="仿宋_GB2312"/>
          <w:b/>
          <w:bCs/>
        </w:rPr>
      </w:pPr>
      <w:r>
        <w:rPr>
          <w:rFonts w:hAnsi="仿宋_GB2312" w:cs="仿宋_GB2312"/>
        </w:rPr>
        <w:t>3</w:t>
      </w:r>
      <w:r>
        <w:rPr>
          <w:rFonts w:hint="eastAsia" w:hAnsi="仿宋_GB2312" w:cs="仿宋_GB2312"/>
        </w:rPr>
        <w:t>、问题会商。县级农机购置补贴领导机构对违规问题进行会商，按照分类处置要求，区分违规性质，确定处理结果。</w:t>
      </w:r>
    </w:p>
    <w:p>
      <w:pPr>
        <w:spacing w:line="560" w:lineRule="exact"/>
        <w:ind w:firstLine="640" w:firstLineChars="200"/>
        <w:rPr>
          <w:rFonts w:hAnsi="仿宋_GB2312" w:cs="仿宋_GB2312"/>
          <w:b/>
          <w:bCs/>
        </w:rPr>
      </w:pPr>
      <w:r>
        <w:rPr>
          <w:rFonts w:hAnsi="仿宋_GB2312" w:cs="仿宋_GB2312"/>
        </w:rPr>
        <w:t>4</w:t>
      </w:r>
      <w:r>
        <w:rPr>
          <w:rFonts w:hint="eastAsia" w:hAnsi="仿宋_GB2312" w:cs="仿宋_GB2312"/>
        </w:rPr>
        <w:t>、约谈告知。在作出正式处理决定前，约谈违规主体，告知违规问题和处理意见。</w:t>
      </w:r>
    </w:p>
    <w:p>
      <w:pPr>
        <w:spacing w:line="560" w:lineRule="exact"/>
        <w:ind w:firstLine="640" w:firstLineChars="200"/>
        <w:rPr>
          <w:rFonts w:hAnsi="仿宋_GB2312" w:cs="仿宋_GB2312"/>
          <w:b/>
          <w:bCs/>
        </w:rPr>
      </w:pPr>
      <w:r>
        <w:rPr>
          <w:rFonts w:hAnsi="仿宋_GB2312" w:cs="仿宋_GB2312"/>
        </w:rPr>
        <w:t>5</w:t>
      </w:r>
      <w:r>
        <w:rPr>
          <w:rFonts w:hint="eastAsia" w:hAnsi="仿宋_GB2312" w:cs="仿宋_GB2312"/>
        </w:rPr>
        <w:t>、处理通报。根据调查结果和约谈情况，对涉事单位和个人下达处理决定。将处理结果进行通报，并上报上级主管部门。</w:t>
      </w:r>
    </w:p>
    <w:p>
      <w:pPr>
        <w:spacing w:line="560" w:lineRule="exact"/>
        <w:ind w:left="640"/>
        <w:rPr>
          <w:rFonts w:hAnsi="仿宋_GB2312" w:cs="仿宋_GB2312"/>
          <w:b/>
          <w:bCs/>
        </w:rPr>
      </w:pPr>
      <w:r>
        <w:rPr>
          <w:rFonts w:hint="eastAsia" w:hAnsi="仿宋_GB2312" w:cs="仿宋_GB2312"/>
          <w:b/>
          <w:bCs/>
        </w:rPr>
        <w:t>（二）风险点与防控应对策略</w:t>
      </w:r>
    </w:p>
    <w:tbl>
      <w:tblPr>
        <w:tblStyle w:val="6"/>
        <w:tblW w:w="8356"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1"/>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3571" w:type="dxa"/>
            <w:vAlign w:val="center"/>
          </w:tcPr>
          <w:p>
            <w:pPr>
              <w:spacing w:line="400" w:lineRule="exact"/>
              <w:jc w:val="center"/>
              <w:rPr>
                <w:rFonts w:ascii="黑体" w:hAnsi="黑体" w:eastAsia="黑体" w:cs="黑体"/>
                <w:b/>
                <w:bCs/>
                <w:sz w:val="28"/>
                <w:szCs w:val="28"/>
              </w:rPr>
            </w:pPr>
            <w:r>
              <w:rPr>
                <w:rFonts w:hint="eastAsia" w:ascii="黑体" w:hAnsi="黑体" w:eastAsia="黑体" w:cs="黑体"/>
                <w:b/>
                <w:bCs/>
                <w:sz w:val="28"/>
                <w:szCs w:val="28"/>
              </w:rPr>
              <w:t>风</w:t>
            </w:r>
            <w:r>
              <w:rPr>
                <w:rFonts w:ascii="黑体" w:hAnsi="黑体" w:eastAsia="黑体" w:cs="黑体"/>
                <w:b/>
                <w:bCs/>
                <w:sz w:val="28"/>
                <w:szCs w:val="28"/>
              </w:rPr>
              <w:t xml:space="preserve"> </w:t>
            </w:r>
            <w:r>
              <w:rPr>
                <w:rFonts w:hint="eastAsia" w:ascii="黑体" w:hAnsi="黑体" w:eastAsia="黑体" w:cs="黑体"/>
                <w:b/>
                <w:bCs/>
                <w:sz w:val="28"/>
                <w:szCs w:val="28"/>
              </w:rPr>
              <w:t>险</w:t>
            </w:r>
            <w:r>
              <w:rPr>
                <w:rFonts w:ascii="黑体" w:hAnsi="黑体" w:eastAsia="黑体" w:cs="黑体"/>
                <w:b/>
                <w:bCs/>
                <w:sz w:val="28"/>
                <w:szCs w:val="28"/>
              </w:rPr>
              <w:t xml:space="preserve"> </w:t>
            </w:r>
            <w:r>
              <w:rPr>
                <w:rFonts w:hint="eastAsia" w:ascii="黑体" w:hAnsi="黑体" w:eastAsia="黑体" w:cs="黑体"/>
                <w:b/>
                <w:bCs/>
                <w:sz w:val="28"/>
                <w:szCs w:val="28"/>
              </w:rPr>
              <w:t>点</w:t>
            </w:r>
          </w:p>
        </w:tc>
        <w:tc>
          <w:tcPr>
            <w:tcW w:w="4785" w:type="dxa"/>
            <w:vAlign w:val="center"/>
          </w:tcPr>
          <w:p>
            <w:pPr>
              <w:spacing w:line="400" w:lineRule="exact"/>
              <w:jc w:val="center"/>
              <w:rPr>
                <w:rFonts w:ascii="黑体" w:hAnsi="黑体" w:eastAsia="黑体" w:cs="黑体"/>
                <w:b/>
                <w:bCs/>
                <w:sz w:val="28"/>
                <w:szCs w:val="28"/>
              </w:rPr>
            </w:pPr>
            <w:r>
              <w:rPr>
                <w:rFonts w:hint="eastAsia" w:ascii="Arial" w:hAnsi="Arial" w:eastAsia="黑体" w:cs="Arial"/>
                <w:b/>
                <w:bCs/>
                <w:sz w:val="28"/>
                <w:szCs w:val="28"/>
              </w:rPr>
              <w:t>防</w:t>
            </w:r>
            <w:r>
              <w:rPr>
                <w:rFonts w:ascii="Arial" w:hAnsi="Arial" w:eastAsia="黑体" w:cs="Arial"/>
                <w:b/>
                <w:bCs/>
                <w:sz w:val="28"/>
                <w:szCs w:val="28"/>
              </w:rPr>
              <w:t xml:space="preserve"> </w:t>
            </w:r>
            <w:r>
              <w:rPr>
                <w:rFonts w:hint="eastAsia" w:ascii="Arial" w:hAnsi="Arial" w:eastAsia="黑体" w:cs="Arial"/>
                <w:b/>
                <w:bCs/>
                <w:sz w:val="28"/>
                <w:szCs w:val="28"/>
              </w:rPr>
              <w:t>控</w:t>
            </w:r>
            <w:r>
              <w:rPr>
                <w:rFonts w:ascii="Arial" w:hAnsi="Arial" w:eastAsia="黑体" w:cs="Arial"/>
                <w:b/>
                <w:bCs/>
                <w:sz w:val="28"/>
                <w:szCs w:val="28"/>
              </w:rPr>
              <w:t xml:space="preserve"> </w:t>
            </w:r>
            <w:r>
              <w:rPr>
                <w:rFonts w:hint="eastAsia" w:ascii="Arial" w:hAnsi="Arial" w:eastAsia="黑体" w:cs="Arial"/>
                <w:b/>
                <w:bCs/>
                <w:sz w:val="28"/>
                <w:szCs w:val="28"/>
              </w:rPr>
              <w:t>应</w:t>
            </w:r>
            <w:r>
              <w:rPr>
                <w:rFonts w:ascii="Arial" w:hAnsi="Arial" w:eastAsia="黑体" w:cs="Arial"/>
                <w:b/>
                <w:bCs/>
                <w:sz w:val="28"/>
                <w:szCs w:val="28"/>
              </w:rPr>
              <w:t xml:space="preserve"> </w:t>
            </w:r>
            <w:r>
              <w:rPr>
                <w:rFonts w:hint="eastAsia" w:ascii="Arial" w:hAnsi="Arial" w:eastAsia="黑体" w:cs="Arial"/>
                <w:b/>
                <w:bCs/>
                <w:sz w:val="28"/>
                <w:szCs w:val="2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1"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收受企业好处，对反映问题的举报投诉不组织调查，对已查实的违规问题不按规定处理</w:t>
            </w:r>
          </w:p>
        </w:tc>
        <w:tc>
          <w:tcPr>
            <w:tcW w:w="478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研究制定农机购置补贴违规处理工作规定，明确受理、转办、调查、处理、公布等程序和工作要求，公布补贴咨询投诉热线电话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1"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部门及工作人员补贴实施中违纪行为</w:t>
            </w:r>
          </w:p>
        </w:tc>
        <w:tc>
          <w:tcPr>
            <w:tcW w:w="478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执行机关干部违规积分警示管理办法等，形成书面调查材料报送主管部门和所在单位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1"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补贴农机产品质量调查</w:t>
            </w:r>
          </w:p>
        </w:tc>
        <w:tc>
          <w:tcPr>
            <w:tcW w:w="478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县农机主管部门全过程跟踪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1"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报废农机资格确认</w:t>
            </w:r>
          </w:p>
        </w:tc>
        <w:tc>
          <w:tcPr>
            <w:tcW w:w="478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报废记录按期公开，做好网上信息的核对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1"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经销商经营违规行为</w:t>
            </w:r>
          </w:p>
        </w:tc>
        <w:tc>
          <w:tcPr>
            <w:tcW w:w="478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严格按江苏省农机购置补贴产品经营违规行为处理规定（试行）执行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1"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补贴机具销售真实性</w:t>
            </w:r>
          </w:p>
        </w:tc>
        <w:tc>
          <w:tcPr>
            <w:tcW w:w="478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每年组织</w:t>
            </w:r>
            <w:r>
              <w:rPr>
                <w:rFonts w:hAnsi="仿宋_GB2312" w:cs="仿宋_GB2312"/>
                <w:sz w:val="24"/>
                <w:szCs w:val="24"/>
              </w:rPr>
              <w:t>2</w:t>
            </w:r>
            <w:r>
              <w:rPr>
                <w:rFonts w:hint="eastAsia" w:hAnsi="仿宋_GB2312" w:cs="仿宋_GB2312"/>
                <w:sz w:val="24"/>
                <w:szCs w:val="24"/>
              </w:rPr>
              <w:t>次重点机具实地检查，核机数量不少于规定要求</w:t>
            </w:r>
          </w:p>
        </w:tc>
      </w:tr>
    </w:tbl>
    <w:p>
      <w:pPr>
        <w:spacing w:line="300" w:lineRule="auto"/>
        <w:ind w:firstLine="540" w:firstLineChars="168"/>
        <w:rPr>
          <w:rFonts w:hAnsi="仿宋_GB2312" w:cs="仿宋_GB2312"/>
          <w:bCs/>
        </w:rPr>
      </w:pPr>
      <w:r>
        <w:rPr>
          <w:rFonts w:hint="eastAsia" w:hAnsi="仿宋_GB2312" w:cs="仿宋_GB2312"/>
          <w:b/>
          <w:bCs/>
        </w:rPr>
        <w:t>四、农机购置补贴政策宣传及信息公开</w:t>
      </w:r>
    </w:p>
    <w:p>
      <w:pPr>
        <w:spacing w:line="300" w:lineRule="auto"/>
        <w:ind w:firstLine="540" w:firstLineChars="168"/>
        <w:rPr>
          <w:rFonts w:hAnsi="仿宋_GB2312" w:cs="仿宋_GB2312"/>
          <w:bCs/>
        </w:rPr>
      </w:pPr>
      <w:r>
        <w:rPr>
          <w:rFonts w:hint="eastAsia" w:hAnsi="仿宋_GB2312" w:cs="仿宋_GB2312"/>
          <w:b/>
          <w:bCs/>
        </w:rPr>
        <w:t>（一）工作流程</w:t>
      </w:r>
    </w:p>
    <w:p>
      <w:pPr>
        <w:spacing w:line="560" w:lineRule="exact"/>
        <w:ind w:firstLine="537" w:firstLineChars="168"/>
        <w:rPr>
          <w:rFonts w:hAnsi="仿宋_GB2312" w:cs="仿宋_GB2312"/>
          <w:bCs/>
        </w:rPr>
      </w:pPr>
      <w:r>
        <w:rPr>
          <w:rFonts w:hAnsi="仿宋_GB2312" w:cs="仿宋_GB2312"/>
        </w:rPr>
        <w:t>1</w:t>
      </w:r>
      <w:r>
        <w:rPr>
          <w:rFonts w:hint="eastAsia" w:hAnsi="仿宋_GB2312" w:cs="仿宋_GB2312"/>
        </w:rPr>
        <w:t>、政策宣传：将年度农机购置补贴政策相关内容进行归集，针对不同宣传方式形成政策宣传资料。宣传手册主要包括上级通知文件和相关制度等，咨询热线主要根据便民服务知识点进行答复，群发短信主要包括补贴执行时间和报账友情提醒等，现场培训主要包括</w:t>
      </w:r>
      <w:r>
        <w:rPr>
          <w:rFonts w:hAnsi="仿宋_GB2312" w:cs="仿宋_GB2312"/>
        </w:rPr>
        <w:t>PPT</w:t>
      </w:r>
      <w:r>
        <w:rPr>
          <w:rFonts w:hint="eastAsia" w:hAnsi="仿宋_GB2312" w:cs="仿宋_GB2312"/>
        </w:rPr>
        <w:t>讲解和宣传手册发放等内容。</w:t>
      </w:r>
    </w:p>
    <w:p>
      <w:pPr>
        <w:spacing w:line="560" w:lineRule="exact"/>
        <w:ind w:firstLine="537" w:firstLineChars="168"/>
        <w:rPr>
          <w:rFonts w:hAnsi="仿宋_GB2312" w:cs="仿宋_GB2312"/>
          <w:bCs/>
        </w:rPr>
      </w:pPr>
      <w:r>
        <w:rPr>
          <w:rFonts w:hAnsi="仿宋_GB2312" w:cs="仿宋_GB2312"/>
        </w:rPr>
        <w:t>2</w:t>
      </w:r>
      <w:r>
        <w:rPr>
          <w:rFonts w:hint="eastAsia" w:hAnsi="仿宋_GB2312" w:cs="仿宋_GB2312"/>
        </w:rPr>
        <w:t>、信息公开：按农业部或省农机购置补贴信息公开专栏建设相关规定梳理资料形成规范性信息，送归口部门审核。在政务网上发布的转政府政务中心进行审核发布，省级农机购置补贴专栏按县级录入、市级审核发布程序操作。具体工作步骤有：</w:t>
      </w:r>
    </w:p>
    <w:p>
      <w:pPr>
        <w:spacing w:line="560" w:lineRule="exact"/>
        <w:ind w:firstLine="537" w:firstLineChars="168"/>
        <w:rPr>
          <w:rFonts w:hAnsi="仿宋_GB2312" w:cs="仿宋_GB2312"/>
          <w:bCs/>
        </w:rPr>
      </w:pPr>
      <w:r>
        <w:rPr>
          <w:rFonts w:hint="eastAsia" w:hAnsi="仿宋_GB2312" w:cs="仿宋_GB2312"/>
        </w:rPr>
        <w:t>（</w:t>
      </w:r>
      <w:r>
        <w:rPr>
          <w:rFonts w:hAnsi="仿宋_GB2312" w:cs="仿宋_GB2312"/>
        </w:rPr>
        <w:t>1</w:t>
      </w:r>
      <w:r>
        <w:rPr>
          <w:rFonts w:hint="eastAsia" w:hAnsi="仿宋_GB2312" w:cs="仿宋_GB2312"/>
        </w:rPr>
        <w:t>）农机购置补贴岗位拟文</w:t>
      </w:r>
    </w:p>
    <w:p>
      <w:pPr>
        <w:spacing w:line="560" w:lineRule="exact"/>
        <w:ind w:firstLine="537" w:firstLineChars="168"/>
        <w:rPr>
          <w:rFonts w:hAnsi="仿宋_GB2312" w:cs="仿宋_GB2312"/>
          <w:bCs/>
        </w:rPr>
      </w:pPr>
      <w:r>
        <w:rPr>
          <w:rFonts w:hint="eastAsia" w:hAnsi="仿宋_GB2312" w:cs="仿宋_GB2312"/>
        </w:rPr>
        <w:t>①在上级和本级的年度农机购置补贴方案发布后，及时将年度农机购置补贴实施方案、操作流程、适用对象、资金规模、补贴机具种类、补贴额度、投诉咨询电话等需公开的信息拟文报局办公室审核；</w:t>
      </w:r>
    </w:p>
    <w:p>
      <w:pPr>
        <w:spacing w:line="560" w:lineRule="exact"/>
        <w:ind w:firstLine="537" w:firstLineChars="168"/>
        <w:rPr>
          <w:rFonts w:hAnsi="仿宋_GB2312" w:cs="仿宋_GB2312"/>
          <w:bCs/>
        </w:rPr>
      </w:pPr>
      <w:r>
        <w:rPr>
          <w:rFonts w:hint="eastAsia" w:hAnsi="仿宋_GB2312" w:cs="仿宋_GB2312"/>
        </w:rPr>
        <w:t>②在农机购置补贴实施过程中，对拟补贴对象购置机具种类、补贴金额、资金使用进度，违规及投诉处理等需公开的信息拟文报局办公室审核；</w:t>
      </w:r>
    </w:p>
    <w:p>
      <w:pPr>
        <w:spacing w:line="560" w:lineRule="exact"/>
        <w:ind w:firstLine="537" w:firstLineChars="168"/>
        <w:rPr>
          <w:rFonts w:hAnsi="仿宋_GB2312" w:cs="仿宋_GB2312"/>
          <w:bCs/>
        </w:rPr>
      </w:pPr>
      <w:r>
        <w:rPr>
          <w:rFonts w:hint="eastAsia" w:hAnsi="仿宋_GB2312" w:cs="仿宋_GB2312"/>
        </w:rPr>
        <w:t>③在农机购置补贴年度工作结束后，对本地区所有享受补贴的购机信息、资金使用情况、工作总结等需公开的信息拟文报局办公室审核。</w:t>
      </w:r>
    </w:p>
    <w:p>
      <w:pPr>
        <w:spacing w:line="560" w:lineRule="exact"/>
        <w:ind w:firstLine="537" w:firstLineChars="168"/>
        <w:rPr>
          <w:rFonts w:hAnsi="仿宋_GB2312" w:cs="仿宋_GB2312"/>
          <w:bCs/>
        </w:rPr>
      </w:pPr>
      <w:r>
        <w:rPr>
          <w:rFonts w:hint="eastAsia" w:hAnsi="仿宋_GB2312" w:cs="仿宋_GB2312"/>
        </w:rPr>
        <w:t>（</w:t>
      </w:r>
      <w:r>
        <w:rPr>
          <w:rFonts w:hAnsi="仿宋_GB2312" w:cs="仿宋_GB2312"/>
        </w:rPr>
        <w:t>2</w:t>
      </w:r>
      <w:r>
        <w:rPr>
          <w:rFonts w:hint="eastAsia" w:hAnsi="仿宋_GB2312" w:cs="仿宋_GB2312"/>
        </w:rPr>
        <w:t>）信息管理岗位发布信息</w:t>
      </w:r>
    </w:p>
    <w:p>
      <w:pPr>
        <w:spacing w:line="560" w:lineRule="exact"/>
        <w:ind w:firstLine="537" w:firstLineChars="168"/>
        <w:rPr>
          <w:rFonts w:hAnsi="仿宋_GB2312" w:cs="仿宋_GB2312"/>
        </w:rPr>
      </w:pPr>
      <w:r>
        <w:rPr>
          <w:rFonts w:hint="eastAsia" w:hAnsi="仿宋_GB2312" w:cs="仿宋_GB2312"/>
        </w:rPr>
        <w:t>对单位领导签发需公开的农机购置补贴信息及时在公开专栏、相应媒体上发布；在政务公开栏、工作场所张贴。</w:t>
      </w:r>
    </w:p>
    <w:p>
      <w:pPr>
        <w:spacing w:line="560" w:lineRule="exact"/>
        <w:ind w:firstLine="643" w:firstLineChars="200"/>
        <w:rPr>
          <w:rFonts w:hAnsi="仿宋_GB2312" w:cs="仿宋_GB2312"/>
          <w:b/>
          <w:bCs/>
        </w:rPr>
      </w:pPr>
      <w:r>
        <w:rPr>
          <w:rFonts w:hint="eastAsia" w:hAnsi="仿宋_GB2312" w:cs="仿宋_GB2312"/>
          <w:b/>
          <w:bCs/>
        </w:rPr>
        <w:t>（二）风险点与防控应对策略</w:t>
      </w:r>
    </w:p>
    <w:tbl>
      <w:tblPr>
        <w:tblStyle w:val="6"/>
        <w:tblW w:w="832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0"/>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0" w:type="dxa"/>
            <w:vAlign w:val="center"/>
          </w:tcPr>
          <w:p>
            <w:pPr>
              <w:spacing w:line="400" w:lineRule="exact"/>
              <w:ind w:firstLine="751" w:firstLineChars="267"/>
              <w:rPr>
                <w:rFonts w:ascii="宋体-PUA" w:hAnsi="宋体-PUA" w:eastAsia="宋体-PUA" w:cs="宋体-PUA"/>
                <w:b/>
                <w:bCs/>
                <w:sz w:val="28"/>
                <w:szCs w:val="28"/>
              </w:rPr>
            </w:pPr>
            <w:r>
              <w:rPr>
                <w:rFonts w:hint="eastAsia" w:ascii="黑体" w:hAnsi="黑体" w:eastAsia="黑体" w:cs="黑体"/>
                <w:b/>
                <w:bCs/>
                <w:sz w:val="28"/>
                <w:szCs w:val="28"/>
              </w:rPr>
              <w:t>风</w:t>
            </w:r>
            <w:r>
              <w:rPr>
                <w:rFonts w:ascii="黑体" w:hAnsi="黑体" w:eastAsia="黑体" w:cs="黑体"/>
                <w:b/>
                <w:bCs/>
                <w:sz w:val="28"/>
                <w:szCs w:val="28"/>
              </w:rPr>
              <w:t xml:space="preserve"> </w:t>
            </w:r>
            <w:r>
              <w:rPr>
                <w:rFonts w:hint="eastAsia" w:ascii="黑体" w:hAnsi="黑体" w:eastAsia="黑体" w:cs="黑体"/>
                <w:b/>
                <w:bCs/>
                <w:sz w:val="28"/>
                <w:szCs w:val="28"/>
              </w:rPr>
              <w:t>险</w:t>
            </w:r>
            <w:r>
              <w:rPr>
                <w:rFonts w:ascii="黑体" w:hAnsi="黑体" w:eastAsia="黑体" w:cs="黑体"/>
                <w:b/>
                <w:bCs/>
                <w:sz w:val="28"/>
                <w:szCs w:val="28"/>
              </w:rPr>
              <w:t xml:space="preserve"> </w:t>
            </w:r>
            <w:r>
              <w:rPr>
                <w:rFonts w:hint="eastAsia" w:ascii="黑体" w:hAnsi="黑体" w:eastAsia="黑体" w:cs="黑体"/>
                <w:b/>
                <w:bCs/>
                <w:sz w:val="28"/>
                <w:szCs w:val="28"/>
              </w:rPr>
              <w:t>点</w:t>
            </w:r>
          </w:p>
        </w:tc>
        <w:tc>
          <w:tcPr>
            <w:tcW w:w="4695" w:type="dxa"/>
            <w:vAlign w:val="center"/>
          </w:tcPr>
          <w:p>
            <w:pPr>
              <w:spacing w:line="400" w:lineRule="exact"/>
              <w:ind w:firstLine="1875" w:firstLineChars="667"/>
              <w:rPr>
                <w:rFonts w:ascii="宋体-PUA" w:hAnsi="宋体-PUA" w:eastAsia="宋体-PUA" w:cs="宋体-PUA"/>
                <w:b/>
                <w:bCs/>
                <w:sz w:val="28"/>
                <w:szCs w:val="28"/>
              </w:rPr>
            </w:pPr>
            <w:r>
              <w:rPr>
                <w:rFonts w:hint="eastAsia" w:ascii="黑体" w:hAnsi="黑体" w:eastAsia="黑体" w:cs="黑体"/>
                <w:b/>
                <w:bCs/>
                <w:sz w:val="28"/>
                <w:szCs w:val="28"/>
              </w:rPr>
              <w:t>防</w:t>
            </w:r>
            <w:r>
              <w:rPr>
                <w:rFonts w:ascii="黑体" w:hAnsi="黑体" w:eastAsia="黑体" w:cs="黑体"/>
                <w:b/>
                <w:bCs/>
                <w:sz w:val="28"/>
                <w:szCs w:val="28"/>
              </w:rPr>
              <w:t xml:space="preserve"> </w:t>
            </w:r>
            <w:r>
              <w:rPr>
                <w:rFonts w:hint="eastAsia" w:ascii="黑体" w:hAnsi="黑体" w:eastAsia="黑体" w:cs="黑体"/>
                <w:b/>
                <w:bCs/>
                <w:sz w:val="28"/>
                <w:szCs w:val="28"/>
              </w:rPr>
              <w:t>控</w:t>
            </w:r>
            <w:r>
              <w:rPr>
                <w:rFonts w:ascii="黑体" w:hAnsi="黑体" w:eastAsia="黑体" w:cs="黑体"/>
                <w:b/>
                <w:bCs/>
                <w:sz w:val="28"/>
                <w:szCs w:val="28"/>
              </w:rPr>
              <w:t xml:space="preserve"> </w:t>
            </w:r>
            <w:r>
              <w:rPr>
                <w:rFonts w:hint="eastAsia" w:ascii="黑体" w:hAnsi="黑体" w:eastAsia="黑体" w:cs="黑体"/>
                <w:b/>
                <w:bCs/>
                <w:sz w:val="28"/>
                <w:szCs w:val="28"/>
              </w:rPr>
              <w:t>应</w:t>
            </w:r>
            <w:r>
              <w:rPr>
                <w:rFonts w:ascii="黑体" w:hAnsi="黑体" w:eastAsia="黑体" w:cs="黑体"/>
                <w:b/>
                <w:bCs/>
                <w:sz w:val="28"/>
                <w:szCs w:val="28"/>
              </w:rPr>
              <w:t xml:space="preserve"> </w:t>
            </w:r>
            <w:r>
              <w:rPr>
                <w:rFonts w:hint="eastAsia" w:ascii="黑体" w:hAnsi="黑体" w:eastAsia="黑体" w:cs="黑体"/>
                <w:b/>
                <w:bCs/>
                <w:sz w:val="28"/>
                <w:szCs w:val="2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0"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政策咨询答复时间是否合规</w:t>
            </w:r>
          </w:p>
        </w:tc>
        <w:tc>
          <w:tcPr>
            <w:tcW w:w="469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能当场答复的立即答复，不能当场答复的</w:t>
            </w:r>
            <w:r>
              <w:rPr>
                <w:rFonts w:hAnsi="仿宋_GB2312" w:cs="仿宋_GB2312"/>
                <w:sz w:val="24"/>
                <w:szCs w:val="24"/>
              </w:rPr>
              <w:t>3</w:t>
            </w:r>
            <w:r>
              <w:rPr>
                <w:rFonts w:hint="eastAsia" w:hAnsi="仿宋_GB2312" w:cs="仿宋_GB2312"/>
                <w:sz w:val="24"/>
                <w:szCs w:val="24"/>
              </w:rPr>
              <w:t>个工作日答复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0"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政策宣传掌握尺度是否合规</w:t>
            </w:r>
          </w:p>
        </w:tc>
        <w:tc>
          <w:tcPr>
            <w:tcW w:w="469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严格执行政策文件中的内容要求，加强学习，不随意变更政策执行标准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30"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待公开信息发布前是否通过审查</w:t>
            </w:r>
          </w:p>
        </w:tc>
        <w:tc>
          <w:tcPr>
            <w:tcW w:w="469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按规定栏目和内容进行公开，办公室负责公开信息的合规性审查，未审查、审查不通过和涉密、涉及隐私的信息不公开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0"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公开信息的发布、修改和更新</w:t>
            </w:r>
          </w:p>
        </w:tc>
        <w:tc>
          <w:tcPr>
            <w:tcW w:w="469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专人负责，逐级审核，按旬维护，按月更新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0"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信息公开工作职责是否到位</w:t>
            </w:r>
          </w:p>
        </w:tc>
        <w:tc>
          <w:tcPr>
            <w:tcW w:w="469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对梳理和采集信息建立工作岗位负责制</w:t>
            </w:r>
          </w:p>
        </w:tc>
      </w:tr>
    </w:tbl>
    <w:p>
      <w:pPr>
        <w:spacing w:line="300" w:lineRule="auto"/>
        <w:ind w:firstLine="540" w:firstLineChars="168"/>
        <w:rPr>
          <w:rFonts w:hAnsi="仿宋_GB2312" w:cs="仿宋_GB2312"/>
          <w:bCs/>
        </w:rPr>
      </w:pPr>
      <w:r>
        <w:rPr>
          <w:rFonts w:hint="eastAsia" w:hAnsi="仿宋_GB2312" w:cs="仿宋_GB2312"/>
          <w:b/>
          <w:bCs/>
        </w:rPr>
        <w:t>五、农机购置补贴绩效管理</w:t>
      </w:r>
    </w:p>
    <w:p>
      <w:pPr>
        <w:spacing w:line="300" w:lineRule="auto"/>
        <w:ind w:firstLine="540" w:firstLineChars="168"/>
        <w:rPr>
          <w:rFonts w:hAnsi="仿宋_GB2312" w:cs="仿宋_GB2312"/>
          <w:b/>
          <w:bCs/>
        </w:rPr>
      </w:pPr>
      <w:r>
        <w:rPr>
          <w:rFonts w:hint="eastAsia" w:hAnsi="仿宋_GB2312" w:cs="仿宋_GB2312"/>
          <w:b/>
          <w:bCs/>
        </w:rPr>
        <w:t>（一）工作流程</w:t>
      </w:r>
    </w:p>
    <w:p>
      <w:pPr>
        <w:spacing w:line="560" w:lineRule="exact"/>
        <w:ind w:firstLine="640" w:firstLineChars="200"/>
        <w:rPr>
          <w:rFonts w:hAnsi="仿宋_GB2312" w:cs="仿宋_GB2312"/>
        </w:rPr>
      </w:pPr>
      <w:r>
        <w:rPr>
          <w:rFonts w:hAnsi="仿宋_GB2312" w:cs="仿宋_GB2312"/>
        </w:rPr>
        <w:t>1</w:t>
      </w:r>
      <w:r>
        <w:rPr>
          <w:rFonts w:hint="eastAsia" w:hAnsi="仿宋_GB2312" w:cs="仿宋_GB2312"/>
        </w:rPr>
        <w:t>、建立健全农机购置补贴制度</w:t>
      </w:r>
    </w:p>
    <w:p>
      <w:pPr>
        <w:spacing w:line="560" w:lineRule="exact"/>
        <w:ind w:firstLine="640" w:firstLineChars="200"/>
        <w:rPr>
          <w:rFonts w:hAnsi="仿宋_GB2312" w:cs="仿宋_GB2312"/>
        </w:rPr>
      </w:pPr>
      <w:r>
        <w:rPr>
          <w:rFonts w:hint="eastAsia" w:hAnsi="仿宋_GB2312" w:cs="仿宋_GB2312"/>
        </w:rPr>
        <w:t>制定完善的农机购置补贴工作、资金管理、责任追究、投诉处理、信息公开、绩效管理、补贴系统等方面管理制度。</w:t>
      </w:r>
    </w:p>
    <w:p>
      <w:pPr>
        <w:spacing w:line="560" w:lineRule="exact"/>
        <w:ind w:firstLine="640" w:firstLineChars="200"/>
        <w:rPr>
          <w:rFonts w:hAnsi="仿宋_GB2312" w:cs="仿宋_GB2312"/>
        </w:rPr>
      </w:pPr>
      <w:r>
        <w:rPr>
          <w:rFonts w:hAnsi="仿宋_GB2312" w:cs="仿宋_GB2312"/>
        </w:rPr>
        <w:t>2</w:t>
      </w:r>
      <w:r>
        <w:rPr>
          <w:rFonts w:hint="eastAsia" w:hAnsi="仿宋_GB2312" w:cs="仿宋_GB2312"/>
        </w:rPr>
        <w:t>、宏观指导等重点工作开展情况</w:t>
      </w:r>
    </w:p>
    <w:p>
      <w:pPr>
        <w:spacing w:line="560" w:lineRule="exact"/>
        <w:ind w:firstLine="640" w:firstLineChars="200"/>
        <w:rPr>
          <w:rFonts w:hAnsi="仿宋_GB2312" w:cs="仿宋_GB2312"/>
        </w:rPr>
      </w:pPr>
      <w:r>
        <w:rPr>
          <w:rFonts w:hint="eastAsia" w:hAnsi="仿宋_GB2312" w:cs="仿宋_GB2312"/>
        </w:rPr>
        <w:t>地方党委政府出台相关文件，成立领导机构，建立廉政防控机制，签订工作责任状，落实工作经费，制定中长期发展规划，制定农机购置补贴实施方案。</w:t>
      </w:r>
    </w:p>
    <w:p>
      <w:pPr>
        <w:spacing w:line="560" w:lineRule="exact"/>
        <w:ind w:firstLine="640" w:firstLineChars="200"/>
        <w:rPr>
          <w:rFonts w:hAnsi="仿宋_GB2312" w:cs="仿宋_GB2312"/>
        </w:rPr>
      </w:pPr>
      <w:r>
        <w:rPr>
          <w:rFonts w:hAnsi="仿宋_GB2312" w:cs="仿宋_GB2312"/>
        </w:rPr>
        <w:t>3</w:t>
      </w:r>
      <w:r>
        <w:rPr>
          <w:rFonts w:hint="eastAsia" w:hAnsi="仿宋_GB2312" w:cs="仿宋_GB2312"/>
        </w:rPr>
        <w:t>、农机购置补贴工作监督检查</w:t>
      </w:r>
    </w:p>
    <w:p>
      <w:pPr>
        <w:spacing w:line="560" w:lineRule="exact"/>
        <w:ind w:firstLine="640" w:firstLineChars="200"/>
        <w:rPr>
          <w:rFonts w:hAnsi="仿宋_GB2312" w:cs="仿宋_GB2312"/>
        </w:rPr>
      </w:pPr>
      <w:r>
        <w:rPr>
          <w:rFonts w:hint="eastAsia" w:hAnsi="仿宋_GB2312" w:cs="仿宋_GB2312"/>
        </w:rPr>
        <w:t>制定监督检查方案，按要求开展核查、定期和不定期检查，邀请纪检监察等部门参与，对重点机具和重点对象进行重点检查。</w:t>
      </w:r>
    </w:p>
    <w:p>
      <w:pPr>
        <w:spacing w:line="560" w:lineRule="exact"/>
        <w:ind w:firstLine="640" w:firstLineChars="200"/>
        <w:rPr>
          <w:rFonts w:hAnsi="仿宋_GB2312" w:cs="仿宋_GB2312"/>
        </w:rPr>
      </w:pPr>
      <w:r>
        <w:rPr>
          <w:rFonts w:hAnsi="仿宋_GB2312" w:cs="仿宋_GB2312"/>
        </w:rPr>
        <w:t>4</w:t>
      </w:r>
      <w:r>
        <w:rPr>
          <w:rFonts w:hint="eastAsia" w:hAnsi="仿宋_GB2312" w:cs="仿宋_GB2312"/>
        </w:rPr>
        <w:t>、资金执行和兑付工作考核</w:t>
      </w:r>
    </w:p>
    <w:p>
      <w:pPr>
        <w:spacing w:line="560" w:lineRule="exact"/>
        <w:ind w:firstLine="640" w:firstLineChars="200"/>
        <w:rPr>
          <w:rFonts w:hAnsi="仿宋_GB2312" w:cs="仿宋_GB2312"/>
        </w:rPr>
      </w:pPr>
      <w:r>
        <w:rPr>
          <w:rFonts w:hint="eastAsia" w:hAnsi="仿宋_GB2312" w:cs="仿宋_GB2312"/>
        </w:rPr>
        <w:t>及时掌握资金使用进度，确保资金使用的计划性和资金兑付的及时性。</w:t>
      </w:r>
    </w:p>
    <w:p>
      <w:pPr>
        <w:spacing w:line="560" w:lineRule="exact"/>
        <w:ind w:firstLine="640" w:firstLineChars="200"/>
        <w:rPr>
          <w:rFonts w:hAnsi="仿宋_GB2312" w:cs="仿宋_GB2312"/>
        </w:rPr>
      </w:pPr>
      <w:r>
        <w:rPr>
          <w:rFonts w:hAnsi="仿宋_GB2312" w:cs="仿宋_GB2312"/>
        </w:rPr>
        <w:t>5</w:t>
      </w:r>
      <w:r>
        <w:rPr>
          <w:rFonts w:hint="eastAsia" w:hAnsi="仿宋_GB2312" w:cs="仿宋_GB2312"/>
        </w:rPr>
        <w:t>、完成绩效目标</w:t>
      </w:r>
    </w:p>
    <w:p>
      <w:pPr>
        <w:spacing w:line="560" w:lineRule="exact"/>
        <w:ind w:firstLine="640" w:firstLineChars="200"/>
        <w:rPr>
          <w:rFonts w:hAnsi="仿宋_GB2312" w:cs="仿宋_GB2312"/>
        </w:rPr>
      </w:pPr>
      <w:r>
        <w:rPr>
          <w:rFonts w:hint="eastAsia" w:hAnsi="仿宋_GB2312" w:cs="仿宋_GB2312"/>
        </w:rPr>
        <w:t>开展绩效管理并延伸到乡镇，通过实施农机购置补贴，促进农机化水平达到预期目标。</w:t>
      </w:r>
    </w:p>
    <w:p>
      <w:pPr>
        <w:spacing w:line="560" w:lineRule="exact"/>
        <w:ind w:left="640"/>
        <w:rPr>
          <w:rFonts w:hAnsi="仿宋_GB2312" w:cs="仿宋_GB2312"/>
          <w:b/>
          <w:bCs/>
        </w:rPr>
      </w:pPr>
      <w:r>
        <w:rPr>
          <w:rFonts w:hint="eastAsia" w:hAnsi="仿宋_GB2312" w:cs="仿宋_GB2312"/>
          <w:b/>
          <w:bCs/>
        </w:rPr>
        <w:t>（二）风险点与防控应对策略</w:t>
      </w:r>
    </w:p>
    <w:tbl>
      <w:tblPr>
        <w:tblStyle w:val="6"/>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2"/>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602" w:type="dxa"/>
            <w:vAlign w:val="center"/>
          </w:tcPr>
          <w:p>
            <w:pPr>
              <w:spacing w:line="400" w:lineRule="exact"/>
              <w:ind w:firstLine="1124" w:firstLineChars="400"/>
              <w:rPr>
                <w:rFonts w:ascii="宋体-PUA" w:hAnsi="宋体-PUA" w:eastAsia="宋体-PUA" w:cs="宋体-PUA"/>
                <w:b/>
                <w:bCs/>
                <w:sz w:val="28"/>
                <w:szCs w:val="28"/>
              </w:rPr>
            </w:pPr>
            <w:r>
              <w:rPr>
                <w:rFonts w:hint="eastAsia" w:ascii="黑体" w:hAnsi="黑体" w:eastAsia="黑体" w:cs="黑体"/>
                <w:b/>
                <w:bCs/>
                <w:sz w:val="28"/>
                <w:szCs w:val="28"/>
              </w:rPr>
              <w:t>风</w:t>
            </w:r>
            <w:r>
              <w:rPr>
                <w:rFonts w:ascii="黑体" w:hAnsi="黑体" w:eastAsia="黑体" w:cs="黑体"/>
                <w:b/>
                <w:bCs/>
                <w:sz w:val="28"/>
                <w:szCs w:val="28"/>
              </w:rPr>
              <w:t xml:space="preserve"> </w:t>
            </w:r>
            <w:r>
              <w:rPr>
                <w:rFonts w:hint="eastAsia" w:ascii="黑体" w:hAnsi="黑体" w:eastAsia="黑体" w:cs="黑体"/>
                <w:b/>
                <w:bCs/>
                <w:sz w:val="28"/>
                <w:szCs w:val="28"/>
              </w:rPr>
              <w:t>险</w:t>
            </w:r>
            <w:r>
              <w:rPr>
                <w:rFonts w:ascii="黑体" w:hAnsi="黑体" w:eastAsia="黑体" w:cs="黑体"/>
                <w:b/>
                <w:bCs/>
                <w:sz w:val="28"/>
                <w:szCs w:val="28"/>
              </w:rPr>
              <w:t xml:space="preserve"> </w:t>
            </w:r>
            <w:r>
              <w:rPr>
                <w:rFonts w:hint="eastAsia" w:ascii="黑体" w:hAnsi="黑体" w:eastAsia="黑体" w:cs="黑体"/>
                <w:b/>
                <w:bCs/>
                <w:sz w:val="28"/>
                <w:szCs w:val="28"/>
              </w:rPr>
              <w:t>点</w:t>
            </w:r>
          </w:p>
        </w:tc>
        <w:tc>
          <w:tcPr>
            <w:tcW w:w="4845" w:type="dxa"/>
            <w:vAlign w:val="center"/>
          </w:tcPr>
          <w:p>
            <w:pPr>
              <w:spacing w:line="400" w:lineRule="exact"/>
              <w:ind w:firstLine="1687" w:firstLineChars="600"/>
              <w:rPr>
                <w:rFonts w:ascii="宋体-PUA" w:hAnsi="宋体-PUA" w:eastAsia="宋体-PUA" w:cs="宋体-PUA"/>
                <w:b/>
                <w:bCs/>
                <w:sz w:val="28"/>
                <w:szCs w:val="28"/>
              </w:rPr>
            </w:pPr>
            <w:r>
              <w:rPr>
                <w:rFonts w:hint="eastAsia" w:ascii="黑体" w:hAnsi="黑体" w:eastAsia="黑体" w:cs="黑体"/>
                <w:b/>
                <w:bCs/>
                <w:sz w:val="28"/>
                <w:szCs w:val="28"/>
              </w:rPr>
              <w:t>防</w:t>
            </w:r>
            <w:r>
              <w:rPr>
                <w:rFonts w:ascii="黑体" w:hAnsi="黑体" w:eastAsia="黑体" w:cs="黑体"/>
                <w:b/>
                <w:bCs/>
                <w:sz w:val="28"/>
                <w:szCs w:val="28"/>
              </w:rPr>
              <w:t xml:space="preserve"> </w:t>
            </w:r>
            <w:r>
              <w:rPr>
                <w:rFonts w:hint="eastAsia" w:ascii="黑体" w:hAnsi="黑体" w:eastAsia="黑体" w:cs="黑体"/>
                <w:b/>
                <w:bCs/>
                <w:sz w:val="28"/>
                <w:szCs w:val="28"/>
              </w:rPr>
              <w:t>控</w:t>
            </w:r>
            <w:r>
              <w:rPr>
                <w:rFonts w:ascii="黑体" w:hAnsi="黑体" w:eastAsia="黑体" w:cs="黑体"/>
                <w:b/>
                <w:bCs/>
                <w:sz w:val="28"/>
                <w:szCs w:val="28"/>
              </w:rPr>
              <w:t xml:space="preserve"> </w:t>
            </w:r>
            <w:r>
              <w:rPr>
                <w:rFonts w:hint="eastAsia" w:ascii="黑体" w:hAnsi="黑体" w:eastAsia="黑体" w:cs="黑体"/>
                <w:b/>
                <w:bCs/>
                <w:sz w:val="28"/>
                <w:szCs w:val="28"/>
              </w:rPr>
              <w:t>应</w:t>
            </w:r>
            <w:r>
              <w:rPr>
                <w:rFonts w:ascii="黑体" w:hAnsi="黑体" w:eastAsia="黑体" w:cs="黑体"/>
                <w:b/>
                <w:bCs/>
                <w:sz w:val="28"/>
                <w:szCs w:val="28"/>
              </w:rPr>
              <w:t xml:space="preserve"> </w:t>
            </w:r>
            <w:r>
              <w:rPr>
                <w:rFonts w:hint="eastAsia" w:ascii="黑体" w:hAnsi="黑体" w:eastAsia="黑体" w:cs="黑体"/>
                <w:b/>
                <w:bCs/>
                <w:sz w:val="28"/>
                <w:szCs w:val="28"/>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2"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内部控制与绩效管理相脱节</w:t>
            </w:r>
          </w:p>
        </w:tc>
        <w:tc>
          <w:tcPr>
            <w:tcW w:w="484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把风险防控列入年度绩效管理考核重要内容，贯穿于农机购置补贴政策实施的全过程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2"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评价方案和指标体系不切合实际</w:t>
            </w:r>
          </w:p>
        </w:tc>
        <w:tc>
          <w:tcPr>
            <w:tcW w:w="484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经论证后公布年度绩效考核工作方案及评分依据，提高考核指标体系的合理性，防止暗箱操作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2"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考核的结果失真、不准确</w:t>
            </w:r>
          </w:p>
        </w:tc>
        <w:tc>
          <w:tcPr>
            <w:tcW w:w="484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层级监管、逐级评分考核，发挥各层级梯次的职能作用；委托第三方中介机构进行抽查，体现考核的公平性和独立性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2"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存在弄虚作假行为</w:t>
            </w:r>
          </w:p>
        </w:tc>
        <w:tc>
          <w:tcPr>
            <w:tcW w:w="484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经财政监督、审计、纪检等部门和司法机关查处，有重大违法违规行为并造成恶劣影响的，实行一票否决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2" w:type="dxa"/>
            <w:shd w:val="clear" w:color="auto" w:fill="FFFFFF"/>
            <w:vAlign w:val="center"/>
          </w:tcPr>
          <w:p>
            <w:pPr>
              <w:spacing w:line="400" w:lineRule="exact"/>
              <w:rPr>
                <w:rFonts w:hAnsi="仿宋_GB2312" w:cs="仿宋_GB2312"/>
                <w:sz w:val="24"/>
                <w:szCs w:val="24"/>
              </w:rPr>
            </w:pPr>
            <w:r>
              <w:rPr>
                <w:rFonts w:hint="eastAsia" w:hAnsi="仿宋_GB2312" w:cs="仿宋_GB2312"/>
                <w:sz w:val="24"/>
                <w:szCs w:val="24"/>
              </w:rPr>
              <w:t>考核结果得不到有效应用</w:t>
            </w:r>
          </w:p>
        </w:tc>
        <w:tc>
          <w:tcPr>
            <w:tcW w:w="4845" w:type="dxa"/>
            <w:shd w:val="clear" w:color="auto" w:fill="FFFFFF"/>
            <w:vAlign w:val="center"/>
          </w:tcPr>
          <w:p>
            <w:pPr>
              <w:adjustRightInd w:val="0"/>
              <w:snapToGrid w:val="0"/>
              <w:spacing w:line="400" w:lineRule="exact"/>
              <w:rPr>
                <w:rFonts w:hAnsi="仿宋_GB2312" w:cs="仿宋_GB2312"/>
                <w:sz w:val="24"/>
                <w:szCs w:val="24"/>
              </w:rPr>
            </w:pPr>
            <w:r>
              <w:rPr>
                <w:rFonts w:hint="eastAsia" w:hAnsi="仿宋_GB2312" w:cs="仿宋_GB2312"/>
                <w:sz w:val="24"/>
                <w:szCs w:val="24"/>
              </w:rPr>
              <w:t>通报年度绩效考核结果，把考核情况作为补贴资金和监督经费等分配下达的重要依据</w:t>
            </w:r>
          </w:p>
        </w:tc>
      </w:tr>
    </w:tbl>
    <w:p>
      <w:pPr>
        <w:tabs>
          <w:tab w:val="left" w:pos="4739"/>
        </w:tabs>
        <w:ind w:firstLine="4800" w:firstLineChars="1500"/>
        <w:jc w:val="left"/>
        <w:rPr>
          <w:rFonts w:hAnsi="仿宋_GB2312" w:cs="仿宋_GB2312"/>
        </w:rPr>
      </w:pPr>
    </w:p>
    <w:p>
      <w:pPr>
        <w:tabs>
          <w:tab w:val="left" w:pos="4739"/>
        </w:tabs>
        <w:ind w:firstLine="4800" w:firstLineChars="1500"/>
        <w:jc w:val="left"/>
        <w:rPr>
          <w:rFonts w:hAnsi="仿宋_GB2312" w:cs="仿宋_GB2312"/>
        </w:rPr>
      </w:pPr>
    </w:p>
    <w:p>
      <w:pPr>
        <w:tabs>
          <w:tab w:val="left" w:pos="4739"/>
        </w:tabs>
        <w:ind w:firstLine="4800" w:firstLineChars="1500"/>
        <w:jc w:val="left"/>
        <w:rPr>
          <w:rFonts w:hAnsi="仿宋_GB2312" w:cs="仿宋_GB2312"/>
        </w:rPr>
      </w:pPr>
    </w:p>
    <w:p>
      <w:pPr>
        <w:tabs>
          <w:tab w:val="left" w:pos="4739"/>
        </w:tabs>
        <w:ind w:firstLine="4800" w:firstLineChars="1500"/>
        <w:jc w:val="left"/>
        <w:rPr>
          <w:rFonts w:hAnsi="仿宋_GB2312" w:cs="仿宋_GB2312"/>
        </w:rPr>
      </w:pPr>
      <w:r>
        <w:rPr>
          <w:rFonts w:hint="eastAsia" w:hAnsi="仿宋_GB2312" w:cs="仿宋_GB2312"/>
        </w:rPr>
        <w:t>盱眙县农业机械管理局</w:t>
      </w:r>
    </w:p>
    <w:p>
      <w:pPr>
        <w:tabs>
          <w:tab w:val="left" w:pos="5504"/>
        </w:tabs>
        <w:ind w:firstLine="5120" w:firstLineChars="1600"/>
        <w:jc w:val="left"/>
        <w:rPr>
          <w:rFonts w:hAnsi="仿宋_GB2312" w:cs="仿宋_GB2312"/>
        </w:rPr>
      </w:pPr>
      <w:r>
        <w:rPr>
          <w:rFonts w:hAnsi="仿宋_GB2312" w:cs="仿宋_GB2312"/>
        </w:rPr>
        <w:t>2018</w:t>
      </w:r>
      <w:r>
        <w:rPr>
          <w:rFonts w:hint="eastAsia" w:hAnsi="仿宋_GB2312" w:cs="仿宋_GB2312"/>
        </w:rPr>
        <w:t>年</w:t>
      </w:r>
      <w:r>
        <w:rPr>
          <w:rFonts w:hAnsi="仿宋_GB2312" w:cs="仿宋_GB2312"/>
        </w:rPr>
        <w:t>10</w:t>
      </w:r>
      <w:r>
        <w:rPr>
          <w:rFonts w:hint="eastAsia" w:hAnsi="仿宋_GB2312" w:cs="仿宋_GB2312"/>
        </w:rPr>
        <w:t>月</w:t>
      </w:r>
      <w:r>
        <w:rPr>
          <w:rFonts w:hAnsi="仿宋_GB2312" w:cs="仿宋_GB2312"/>
        </w:rPr>
        <w:t>12</w:t>
      </w:r>
      <w:r>
        <w:rPr>
          <w:rFonts w:hint="eastAsia" w:hAnsi="仿宋_GB2312" w:cs="仿宋_GB231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0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宋体-PUA">
    <w:panose1 w:val="02010600030101010101"/>
    <w:charset w:val="86"/>
    <w:family w:val="auto"/>
    <w:pitch w:val="default"/>
    <w:sig w:usb0="00000000" w:usb1="1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9</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B682C"/>
    <w:multiLevelType w:val="multilevel"/>
    <w:tmpl w:val="3E5B682C"/>
    <w:lvl w:ilvl="0" w:tentative="0">
      <w:start w:val="1"/>
      <w:numFmt w:val="japaneseCounting"/>
      <w:lvlText w:val="（%1）"/>
      <w:lvlJc w:val="left"/>
      <w:pPr>
        <w:tabs>
          <w:tab w:val="left" w:pos="1720"/>
        </w:tabs>
        <w:ind w:left="1720" w:hanging="108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abstractNum w:abstractNumId="1">
    <w:nsid w:val="50AB0128"/>
    <w:multiLevelType w:val="multilevel"/>
    <w:tmpl w:val="50AB0128"/>
    <w:lvl w:ilvl="0" w:tentative="0">
      <w:start w:val="1"/>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abstractNum w:abstractNumId="2">
    <w:nsid w:val="5A885F7A"/>
    <w:multiLevelType w:val="multilevel"/>
    <w:tmpl w:val="5A885F7A"/>
    <w:lvl w:ilvl="0" w:tentative="0">
      <w:start w:val="1"/>
      <w:numFmt w:val="japaneseCounting"/>
      <w:lvlText w:val="（%1）"/>
      <w:lvlJc w:val="left"/>
      <w:pPr>
        <w:tabs>
          <w:tab w:val="left" w:pos="1720"/>
        </w:tabs>
        <w:ind w:left="1720" w:hanging="108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FC16F61"/>
    <w:rsid w:val="00195FE7"/>
    <w:rsid w:val="002C7583"/>
    <w:rsid w:val="002E752F"/>
    <w:rsid w:val="00310504"/>
    <w:rsid w:val="004C3999"/>
    <w:rsid w:val="005F1CA7"/>
    <w:rsid w:val="006A23DF"/>
    <w:rsid w:val="00786D94"/>
    <w:rsid w:val="008A798B"/>
    <w:rsid w:val="00A24B51"/>
    <w:rsid w:val="04863935"/>
    <w:rsid w:val="0AD07BBC"/>
    <w:rsid w:val="0FC16F61"/>
    <w:rsid w:val="1E6F7852"/>
    <w:rsid w:val="2BB8086B"/>
    <w:rsid w:val="315D2D5A"/>
    <w:rsid w:val="3272170F"/>
    <w:rsid w:val="3C092AE4"/>
    <w:rsid w:val="421079A3"/>
    <w:rsid w:val="54AC5291"/>
    <w:rsid w:val="57000FAF"/>
    <w:rsid w:val="5825564F"/>
    <w:rsid w:val="68815978"/>
    <w:rsid w:val="68C87A4C"/>
    <w:rsid w:val="6E0B6586"/>
    <w:rsid w:val="7CDD7BC2"/>
    <w:rsid w:val="7E2A36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微软雅黑" w:eastAsia="仿宋_GB2312" w:cs="Times New Roman"/>
      <w:kern w:val="2"/>
      <w:sz w:val="32"/>
      <w:szCs w:val="3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uiPriority w:val="99"/>
    <w:pPr>
      <w:tabs>
        <w:tab w:val="center" w:pos="4153"/>
        <w:tab w:val="right" w:pos="8306"/>
      </w:tabs>
      <w:snapToGrid w:val="0"/>
      <w:jc w:val="left"/>
    </w:pPr>
    <w:rPr>
      <w:sz w:val="18"/>
      <w:szCs w:val="18"/>
    </w:rPr>
  </w:style>
  <w:style w:type="paragraph" w:styleId="3">
    <w:name w:val="header"/>
    <w:basedOn w:val="1"/>
    <w:link w:val="13"/>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 w:type="paragraph" w:customStyle="1" w:styleId="9">
    <w:name w:val="样式1"/>
    <w:basedOn w:val="1"/>
    <w:qFormat/>
    <w:uiPriority w:val="99"/>
    <w:pPr>
      <w:spacing w:line="360" w:lineRule="auto"/>
    </w:pPr>
    <w:rPr>
      <w:rFonts w:hAnsi="仿宋_GB2312"/>
    </w:rPr>
  </w:style>
  <w:style w:type="paragraph" w:customStyle="1" w:styleId="10">
    <w:name w:val="样式2"/>
    <w:basedOn w:val="1"/>
    <w:qFormat/>
    <w:uiPriority w:val="99"/>
    <w:pPr>
      <w:jc w:val="center"/>
    </w:pPr>
    <w:rPr>
      <w:rFonts w:hAnsi="仿宋_GB2312"/>
    </w:rPr>
  </w:style>
  <w:style w:type="paragraph" w:customStyle="1" w:styleId="11">
    <w:name w:val="样式3"/>
    <w:basedOn w:val="1"/>
    <w:uiPriority w:val="99"/>
    <w:rPr>
      <w:rFonts w:hAnsi="仿宋_GB2312"/>
    </w:rPr>
  </w:style>
  <w:style w:type="paragraph" w:customStyle="1" w:styleId="12">
    <w:name w:val="样式4"/>
    <w:basedOn w:val="1"/>
    <w:uiPriority w:val="99"/>
    <w:pPr>
      <w:spacing w:line="120" w:lineRule="auto"/>
    </w:pPr>
    <w:rPr>
      <w:rFonts w:hAnsi="仿宋_GB2312"/>
    </w:rPr>
  </w:style>
  <w:style w:type="character" w:customStyle="1" w:styleId="13">
    <w:name w:val="Header Char"/>
    <w:basedOn w:val="4"/>
    <w:link w:val="3"/>
    <w:semiHidden/>
    <w:uiPriority w:val="99"/>
    <w:rPr>
      <w:rFonts w:ascii="仿宋_GB2312" w:hAnsi="微软雅黑" w:eastAsia="仿宋_GB2312"/>
      <w:sz w:val="18"/>
      <w:szCs w:val="18"/>
    </w:rPr>
  </w:style>
  <w:style w:type="character" w:customStyle="1" w:styleId="14">
    <w:name w:val="Footer Char"/>
    <w:basedOn w:val="4"/>
    <w:link w:val="2"/>
    <w:semiHidden/>
    <w:uiPriority w:val="99"/>
    <w:rPr>
      <w:rFonts w:ascii="仿宋_GB2312" w:hAnsi="微软雅黑"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696</Words>
  <Characters>3968</Characters>
  <Lines>0</Lines>
  <Paragraphs>0</Paragraphs>
  <TotalTime>10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2018-09-20T08:00:00Z</dcterms:created>
  <dc:creator>跑跑健身</dc:creator>
  <cp:lastModifiedBy>跑跑健身</cp:lastModifiedBy>
  <cp:lastPrinted>2018-09-21T03:23:00Z</cp:lastPrinted>
  <dcterms:modified xsi:type="dcterms:W3CDTF">2018-10-12T08:24:15Z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